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439F" w14:textId="26E62E1B" w:rsidR="00056EC8" w:rsidRDefault="00056EC8" w:rsidP="002800E3">
      <w:r>
        <w:rPr>
          <w:noProof/>
        </w:rPr>
        <w:drawing>
          <wp:anchor distT="0" distB="0" distL="114300" distR="114300" simplePos="0" relativeHeight="251658240" behindDoc="1" locked="0" layoutInCell="1" allowOverlap="1" wp14:anchorId="651B4137" wp14:editId="083C278D">
            <wp:simplePos x="0" y="0"/>
            <wp:positionH relativeFrom="page">
              <wp:align>left</wp:align>
            </wp:positionH>
            <wp:positionV relativeFrom="page">
              <wp:align>top</wp:align>
            </wp:positionV>
            <wp:extent cx="7559675" cy="3827145"/>
            <wp:effectExtent l="0" t="0" r="3175" b="1905"/>
            <wp:wrapNone/>
            <wp:docPr id="2" name="Picutre 1" descr="Obsah obrázku text, Písmo, logo,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utre 1" descr="Obsah obrázku text, Písmo, logo, snímek obrazovky&#10;&#10;Popis byl vytvořen automaticky"/>
                    <pic:cNvPicPr/>
                  </pic:nvPicPr>
                  <pic:blipFill>
                    <a:blip r:embed="rId8" cstate="print">
                      <a:extLst>
                        <a:ext uri="{28A0092B-C50C-407E-A947-70E740481C1C}">
                          <a14:useLocalDpi xmlns:a14="http://schemas.microsoft.com/office/drawing/2010/main" val="0"/>
                        </a:ext>
                      </a:extLst>
                    </a:blip>
                    <a:stretch/>
                  </pic:blipFill>
                  <pic:spPr>
                    <a:xfrm>
                      <a:off x="0" y="0"/>
                      <a:ext cx="7559675" cy="3827145"/>
                    </a:xfrm>
                    <a:prstGeom prst="rect">
                      <a:avLst/>
                    </a:prstGeom>
                  </pic:spPr>
                </pic:pic>
              </a:graphicData>
            </a:graphic>
            <wp14:sizeRelH relativeFrom="margin">
              <wp14:pctWidth>0</wp14:pctWidth>
            </wp14:sizeRelH>
            <wp14:sizeRelV relativeFrom="margin">
              <wp14:pctHeight>0</wp14:pctHeight>
            </wp14:sizeRelV>
          </wp:anchor>
        </w:drawing>
      </w:r>
    </w:p>
    <w:p w14:paraId="2DFBCC93" w14:textId="77777777" w:rsidR="00056EC8" w:rsidRDefault="00056EC8" w:rsidP="002800E3"/>
    <w:p w14:paraId="548332B8" w14:textId="06C6010D" w:rsidR="00056EC8" w:rsidRDefault="00056EC8" w:rsidP="002800E3"/>
    <w:p w14:paraId="7523055E" w14:textId="610D1958" w:rsidR="00056EC8" w:rsidRDefault="00056EC8" w:rsidP="002800E3"/>
    <w:p w14:paraId="4E923FED" w14:textId="5BAB43B5" w:rsidR="00056EC8" w:rsidRDefault="00056EC8" w:rsidP="002800E3"/>
    <w:p w14:paraId="54516413" w14:textId="51790744" w:rsidR="00056EC8" w:rsidRDefault="00056EC8" w:rsidP="002800E3"/>
    <w:p w14:paraId="2B1897CB" w14:textId="69840349" w:rsidR="00056EC8" w:rsidRDefault="00056EC8" w:rsidP="002800E3"/>
    <w:p w14:paraId="087EFEBC" w14:textId="0AFF2567" w:rsidR="00056EC8" w:rsidRDefault="00056EC8" w:rsidP="002800E3"/>
    <w:p w14:paraId="794A8F3F" w14:textId="3C6651E2" w:rsidR="00056EC8" w:rsidRDefault="00056EC8" w:rsidP="002800E3"/>
    <w:p w14:paraId="3C601774" w14:textId="4D709A80" w:rsidR="00056EC8" w:rsidRDefault="00056EC8" w:rsidP="002800E3"/>
    <w:p w14:paraId="73E406C6" w14:textId="0DE4D7D0" w:rsidR="00056EC8" w:rsidRDefault="00056EC8" w:rsidP="002800E3"/>
    <w:p w14:paraId="1F380009" w14:textId="426618F5" w:rsidR="00056EC8" w:rsidRDefault="00056EC8" w:rsidP="002800E3"/>
    <w:p w14:paraId="61D857FA" w14:textId="43B3FE04" w:rsidR="00056EC8" w:rsidRDefault="00056EC8" w:rsidP="002800E3"/>
    <w:p w14:paraId="6B24C461" w14:textId="7C8EB0C6" w:rsidR="00056EC8" w:rsidRDefault="00056EC8" w:rsidP="002800E3"/>
    <w:p w14:paraId="09209FBB" w14:textId="439C8FE4" w:rsidR="00056EC8" w:rsidRDefault="00056EC8" w:rsidP="002800E3"/>
    <w:p w14:paraId="6848F831" w14:textId="52664BE3" w:rsidR="00056EC8" w:rsidRDefault="00056EC8" w:rsidP="002800E3"/>
    <w:p w14:paraId="397A265F" w14:textId="1E1EDB5D" w:rsidR="00056EC8" w:rsidRDefault="00056EC8" w:rsidP="002800E3"/>
    <w:p w14:paraId="20D231E3" w14:textId="3AD0A6A9" w:rsidR="00056EC8" w:rsidRDefault="00056EC8" w:rsidP="002800E3"/>
    <w:p w14:paraId="71966906" w14:textId="3247FDE5" w:rsidR="00056EC8" w:rsidRDefault="00056EC8" w:rsidP="002800E3"/>
    <w:p w14:paraId="0EE417A1" w14:textId="5F6B425E" w:rsidR="00056EC8" w:rsidRDefault="00056EC8" w:rsidP="002800E3"/>
    <w:p w14:paraId="30DE09E8" w14:textId="512EE97D" w:rsidR="00056EC8" w:rsidRDefault="00056EC8" w:rsidP="002800E3"/>
    <w:p w14:paraId="0FC042F2" w14:textId="5DD4EBEB" w:rsidR="00056EC8" w:rsidRDefault="00056EC8" w:rsidP="002800E3"/>
    <w:p w14:paraId="4C6B8471" w14:textId="77777777" w:rsidR="00056EC8" w:rsidRDefault="00056EC8" w:rsidP="002800E3"/>
    <w:p w14:paraId="56A22CCB" w14:textId="695CC45E" w:rsidR="002800E3" w:rsidRPr="00056EC8" w:rsidRDefault="002800E3" w:rsidP="002800E3">
      <w:pPr>
        <w:rPr>
          <w:b/>
          <w:bCs/>
          <w:sz w:val="22"/>
          <w:szCs w:val="22"/>
        </w:rPr>
      </w:pPr>
      <w:r>
        <w:rPr>
          <w:b/>
          <w:sz w:val="22"/>
        </w:rPr>
        <w:t>JAHRESBERICHT</w:t>
      </w:r>
    </w:p>
    <w:p w14:paraId="269D41A9" w14:textId="42EF3367" w:rsidR="002800E3" w:rsidRPr="00056EC8" w:rsidRDefault="002800E3" w:rsidP="00056EC8">
      <w:pPr>
        <w:spacing w:before="360"/>
        <w:rPr>
          <w:b/>
          <w:bCs/>
          <w:sz w:val="22"/>
          <w:szCs w:val="22"/>
        </w:rPr>
      </w:pPr>
      <w:r>
        <w:rPr>
          <w:b/>
          <w:sz w:val="22"/>
        </w:rPr>
        <w:t>FÜR DAS JAHR BIS ZUM 31. DEZEMBER 2023</w:t>
      </w:r>
    </w:p>
    <w:p w14:paraId="79ECC908" w14:textId="59C90FBC" w:rsidR="00056EC8" w:rsidRDefault="00056EC8" w:rsidP="002800E3">
      <w:r>
        <w:br w:type="page"/>
      </w:r>
    </w:p>
    <w:p w14:paraId="6E8746BA" w14:textId="56B13DE3" w:rsidR="00AD1EE2" w:rsidRDefault="00AD1EE2" w:rsidP="002800E3"/>
    <w:p w14:paraId="68A01217" w14:textId="5FE2FA62" w:rsidR="00AD1EE2" w:rsidRDefault="00AD1EE2" w:rsidP="002800E3"/>
    <w:p w14:paraId="21AC6F60" w14:textId="77777777" w:rsidR="00AD1EE2" w:rsidRDefault="00AD1EE2" w:rsidP="002800E3"/>
    <w:p w14:paraId="6802EB8F" w14:textId="0EAF1A0E" w:rsidR="002800E3" w:rsidRPr="00AD1EE2" w:rsidRDefault="002800E3" w:rsidP="00AD1EE2">
      <w:pPr>
        <w:spacing w:before="120" w:after="240"/>
        <w:rPr>
          <w:b/>
          <w:bCs/>
          <w:sz w:val="22"/>
          <w:szCs w:val="22"/>
        </w:rPr>
      </w:pPr>
      <w:r>
        <w:rPr>
          <w:b/>
          <w:sz w:val="22"/>
        </w:rPr>
        <w:t>ERKLÄRUNG DES GESETZLICH VORGESEHENEN LEITUNGSORGANS</w:t>
      </w:r>
    </w:p>
    <w:p w14:paraId="5313B074" w14:textId="77777777" w:rsidR="002800E3" w:rsidRPr="00AD1EE2" w:rsidRDefault="002800E3" w:rsidP="00AD1EE2">
      <w:pPr>
        <w:spacing w:after="520"/>
        <w:jc w:val="both"/>
        <w:rPr>
          <w:sz w:val="22"/>
          <w:szCs w:val="22"/>
        </w:rPr>
      </w:pPr>
      <w:r>
        <w:rPr>
          <w:sz w:val="22"/>
        </w:rPr>
        <w:t xml:space="preserve">Nach bestem Wissen und Gewissen versichere ich, dass der Jahresbericht ein den tatsächlichen Verhältnissen entsprechendes Bild der Vermögens-, Finanz- und Ertragslage der Gesellschaft ZDR Investments SICAV </w:t>
      </w:r>
      <w:proofErr w:type="spellStart"/>
      <w:r>
        <w:rPr>
          <w:sz w:val="22"/>
        </w:rPr>
        <w:t>a.s.</w:t>
      </w:r>
      <w:proofErr w:type="spellEnd"/>
      <w:r>
        <w:rPr>
          <w:sz w:val="22"/>
        </w:rPr>
        <w:t xml:space="preserve"> für das Geschäftsjahr zum 31. Dezember 2023, der Aussichten der voraussichtlichen Entwicklung, der Geschäftstätigkeit und des Geschäftsergebnisses vermittelt und dass darin keine Tatsachen ausgelassen wurden, die den Sinn des vorliegenden Berichts verändern könnten.</w:t>
      </w:r>
    </w:p>
    <w:p w14:paraId="35653FD6" w14:textId="43163002" w:rsidR="002800E3" w:rsidRDefault="005D0137" w:rsidP="00AD1EE2">
      <w:pPr>
        <w:spacing w:after="1440"/>
        <w:rPr>
          <w:sz w:val="22"/>
          <w:szCs w:val="22"/>
        </w:rPr>
      </w:pPr>
      <w:r>
        <w:rPr>
          <w:noProof/>
        </w:rPr>
        <w:drawing>
          <wp:anchor distT="127000" distB="114300" distL="114300" distR="114300" simplePos="0" relativeHeight="251660288" behindDoc="1" locked="0" layoutInCell="1" allowOverlap="1" wp14:anchorId="7AE015A5" wp14:editId="0DF98DF8">
            <wp:simplePos x="0" y="0"/>
            <wp:positionH relativeFrom="margin">
              <wp:posOffset>42240</wp:posOffset>
            </wp:positionH>
            <wp:positionV relativeFrom="paragraph">
              <wp:posOffset>435610</wp:posOffset>
            </wp:positionV>
            <wp:extent cx="1795145" cy="585470"/>
            <wp:effectExtent l="0" t="0" r="0" b="5080"/>
            <wp:wrapNone/>
            <wp:docPr id="5" name="Shape 4" descr="Obsah obrázku rukopis, kaligrafie, Písmo, napsané rukou&#10;&#10;Popis byl vytvořen automaticky"/>
            <wp:cNvGraphicFramePr/>
            <a:graphic xmlns:a="http://schemas.openxmlformats.org/drawingml/2006/main">
              <a:graphicData uri="http://schemas.openxmlformats.org/drawingml/2006/picture">
                <pic:pic xmlns:pic="http://schemas.openxmlformats.org/drawingml/2006/picture">
                  <pic:nvPicPr>
                    <pic:cNvPr id="5" name="Shape 4" descr="Obsah obrázku rukopis, kaligrafie, Písmo, napsané rukou&#10;&#10;Popis byl vytvořen automaticky"/>
                    <pic:cNvPicPr/>
                  </pic:nvPicPr>
                  <pic:blipFill>
                    <a:blip r:embed="rId9"/>
                    <a:stretch/>
                  </pic:blipFill>
                  <pic:spPr>
                    <a:xfrm>
                      <a:off x="0" y="0"/>
                      <a:ext cx="1795145" cy="585470"/>
                    </a:xfrm>
                    <a:prstGeom prst="rect">
                      <a:avLst/>
                    </a:prstGeom>
                  </pic:spPr>
                </pic:pic>
              </a:graphicData>
            </a:graphic>
          </wp:anchor>
        </w:drawing>
      </w:r>
      <w:r>
        <w:rPr>
          <w:sz w:val="22"/>
        </w:rPr>
        <w:t>Brno, den 30. April 2024</w:t>
      </w:r>
    </w:p>
    <w:p w14:paraId="61E2ECCB" w14:textId="022C3B22" w:rsidR="00AD1EE2" w:rsidRPr="00AD1EE2" w:rsidRDefault="00AD1EE2" w:rsidP="00AD1EE2">
      <w:pPr>
        <w:pBdr>
          <w:bottom w:val="single" w:sz="8" w:space="1" w:color="auto"/>
        </w:pBdr>
        <w:ind w:right="4959"/>
        <w:rPr>
          <w:sz w:val="22"/>
          <w:szCs w:val="22"/>
        </w:rPr>
      </w:pPr>
    </w:p>
    <w:p w14:paraId="084ECB96" w14:textId="77777777" w:rsidR="002800E3" w:rsidRPr="000F3A73" w:rsidRDefault="002800E3" w:rsidP="00AD1EE2">
      <w:pPr>
        <w:spacing w:line="280" w:lineRule="exact"/>
        <w:rPr>
          <w:sz w:val="22"/>
          <w:szCs w:val="22"/>
          <w:lang w:val="en-GB"/>
        </w:rPr>
      </w:pPr>
      <w:r w:rsidRPr="000F3A73">
        <w:rPr>
          <w:sz w:val="22"/>
          <w:lang w:val="en-GB"/>
        </w:rPr>
        <w:t xml:space="preserve">ZDR Investments SICAV </w:t>
      </w:r>
      <w:proofErr w:type="spellStart"/>
      <w:r w:rsidRPr="000F3A73">
        <w:rPr>
          <w:sz w:val="22"/>
          <w:lang w:val="en-GB"/>
        </w:rPr>
        <w:t>a.s.</w:t>
      </w:r>
      <w:proofErr w:type="spellEnd"/>
    </w:p>
    <w:p w14:paraId="51E500F9" w14:textId="77777777" w:rsidR="002800E3" w:rsidRPr="00AD1EE2" w:rsidRDefault="002800E3" w:rsidP="00AD1EE2">
      <w:pPr>
        <w:spacing w:line="280" w:lineRule="exact"/>
        <w:rPr>
          <w:sz w:val="22"/>
          <w:szCs w:val="22"/>
        </w:rPr>
      </w:pPr>
      <w:r>
        <w:rPr>
          <w:sz w:val="22"/>
        </w:rPr>
        <w:t xml:space="preserve">Ing. Robert </w:t>
      </w:r>
      <w:proofErr w:type="spellStart"/>
      <w:r>
        <w:rPr>
          <w:sz w:val="22"/>
        </w:rPr>
        <w:t>Hlava</w:t>
      </w:r>
      <w:proofErr w:type="spellEnd"/>
    </w:p>
    <w:p w14:paraId="3D69A2D2" w14:textId="77777777" w:rsidR="00AD1EE2" w:rsidRDefault="002800E3" w:rsidP="00AD1EE2">
      <w:pPr>
        <w:spacing w:line="280" w:lineRule="exact"/>
        <w:rPr>
          <w:sz w:val="22"/>
          <w:szCs w:val="22"/>
        </w:rPr>
      </w:pPr>
      <w:r>
        <w:rPr>
          <w:sz w:val="22"/>
        </w:rPr>
        <w:t>beauftragter Bevollmächtigter des einzigen Mitglieds des Verwaltungsrats</w:t>
      </w:r>
    </w:p>
    <w:p w14:paraId="35266CD6" w14:textId="52D4A316" w:rsidR="005D0137" w:rsidRDefault="002800E3" w:rsidP="005D0137">
      <w:pPr>
        <w:spacing w:line="280" w:lineRule="exact"/>
        <w:rPr>
          <w:sz w:val="22"/>
          <w:szCs w:val="22"/>
        </w:rPr>
      </w:pPr>
      <w:r>
        <w:rPr>
          <w:sz w:val="22"/>
        </w:rPr>
        <w:t xml:space="preserve">CODYA </w:t>
      </w:r>
      <w:proofErr w:type="spellStart"/>
      <w:r>
        <w:rPr>
          <w:sz w:val="22"/>
        </w:rPr>
        <w:t>investiční</w:t>
      </w:r>
      <w:proofErr w:type="spellEnd"/>
      <w:r>
        <w:rPr>
          <w:sz w:val="22"/>
        </w:rPr>
        <w:t xml:space="preserve"> </w:t>
      </w:r>
      <w:proofErr w:type="spellStart"/>
      <w:r>
        <w:rPr>
          <w:sz w:val="22"/>
        </w:rPr>
        <w:t>společnost</w:t>
      </w:r>
      <w:proofErr w:type="spellEnd"/>
      <w:r>
        <w:rPr>
          <w:sz w:val="22"/>
        </w:rPr>
        <w:t xml:space="preserve">, </w:t>
      </w:r>
      <w:proofErr w:type="spellStart"/>
      <w:r>
        <w:rPr>
          <w:sz w:val="22"/>
        </w:rPr>
        <w:t>a.s.</w:t>
      </w:r>
      <w:proofErr w:type="spellEnd"/>
    </w:p>
    <w:p w14:paraId="4F719101" w14:textId="77777777" w:rsidR="005D0137" w:rsidRDefault="005D0137" w:rsidP="005D0137">
      <w:pPr>
        <w:spacing w:line="280" w:lineRule="exact"/>
        <w:rPr>
          <w:sz w:val="22"/>
          <w:szCs w:val="22"/>
        </w:rPr>
      </w:pPr>
    </w:p>
    <w:p w14:paraId="65BC8719" w14:textId="1E2A14ED" w:rsidR="005D0137" w:rsidRDefault="005D0137" w:rsidP="005D0137">
      <w:pPr>
        <w:spacing w:line="280" w:lineRule="exact"/>
        <w:rPr>
          <w:sz w:val="22"/>
          <w:szCs w:val="22"/>
        </w:rPr>
        <w:sectPr w:rsidR="005D0137" w:rsidSect="005D0137">
          <w:headerReference w:type="default" r:id="rId10"/>
          <w:pgSz w:w="11906" w:h="16838" w:code="9"/>
          <w:pgMar w:top="1418" w:right="1418" w:bottom="1418" w:left="1418" w:header="1304" w:footer="709" w:gutter="0"/>
          <w:cols w:space="708"/>
          <w:docGrid w:linePitch="360"/>
        </w:sectPr>
      </w:pPr>
    </w:p>
    <w:p w14:paraId="4DFE2466" w14:textId="50F86EB9" w:rsidR="002800E3" w:rsidRPr="00AD1EE2" w:rsidRDefault="002800E3" w:rsidP="002800E3">
      <w:pPr>
        <w:rPr>
          <w:sz w:val="22"/>
          <w:szCs w:val="22"/>
        </w:rPr>
      </w:pPr>
    </w:p>
    <w:p w14:paraId="2A6396A9" w14:textId="77777777" w:rsidR="005D0137" w:rsidRDefault="005D0137" w:rsidP="002800E3">
      <w:pPr>
        <w:rPr>
          <w:sz w:val="22"/>
          <w:szCs w:val="22"/>
        </w:rPr>
      </w:pPr>
    </w:p>
    <w:p w14:paraId="562D0109" w14:textId="77CF80B8" w:rsidR="005D0137" w:rsidRDefault="00344182" w:rsidP="00344182">
      <w:pPr>
        <w:spacing w:before="60"/>
        <w:ind w:left="454"/>
        <w:jc w:val="center"/>
        <w:rPr>
          <w:sz w:val="22"/>
          <w:szCs w:val="22"/>
        </w:rPr>
      </w:pPr>
      <w:r>
        <w:rPr>
          <w:noProof/>
        </w:rPr>
        <w:drawing>
          <wp:inline distT="0" distB="0" distL="0" distR="0" wp14:anchorId="6E8A0B1A" wp14:editId="73C6A9DC">
            <wp:extent cx="1347470" cy="926465"/>
            <wp:effectExtent l="0" t="0" r="5080" b="6985"/>
            <wp:docPr id="8" name="Shape 8" descr="Obsah obrázku Písmo, logo, symbol, Grafika&#10;&#10;Popis byl vytvořen automaticky"/>
            <wp:cNvGraphicFramePr/>
            <a:graphic xmlns:a="http://schemas.openxmlformats.org/drawingml/2006/main">
              <a:graphicData uri="http://schemas.openxmlformats.org/drawingml/2006/picture">
                <pic:pic xmlns:pic="http://schemas.openxmlformats.org/drawingml/2006/picture">
                  <pic:nvPicPr>
                    <pic:cNvPr id="8" name="Shape 8" descr="Obsah obrázku Písmo, logo, symbol, Grafika&#10;&#10;Popis byl vytvořen automaticky"/>
                    <pic:cNvPicPr/>
                  </pic:nvPicPr>
                  <pic:blipFill>
                    <a:blip r:embed="rId11" cstate="print">
                      <a:extLst>
                        <a:ext uri="{28A0092B-C50C-407E-A947-70E740481C1C}">
                          <a14:useLocalDpi xmlns:a14="http://schemas.microsoft.com/office/drawing/2010/main" val="0"/>
                        </a:ext>
                      </a:extLst>
                    </a:blip>
                    <a:stretch/>
                  </pic:blipFill>
                  <pic:spPr>
                    <a:xfrm>
                      <a:off x="0" y="0"/>
                      <a:ext cx="1347470" cy="926465"/>
                    </a:xfrm>
                    <a:prstGeom prst="rect">
                      <a:avLst/>
                    </a:prstGeom>
                  </pic:spPr>
                </pic:pic>
              </a:graphicData>
            </a:graphic>
          </wp:inline>
        </w:drawing>
      </w:r>
    </w:p>
    <w:p w14:paraId="2CCFF47E" w14:textId="77777777" w:rsidR="005D0137" w:rsidRDefault="005D0137" w:rsidP="002800E3">
      <w:pPr>
        <w:rPr>
          <w:sz w:val="22"/>
          <w:szCs w:val="22"/>
        </w:rPr>
      </w:pPr>
    </w:p>
    <w:p w14:paraId="6B1D5B22" w14:textId="276F5662" w:rsidR="005D0137" w:rsidRDefault="005D0137" w:rsidP="002800E3">
      <w:pPr>
        <w:rPr>
          <w:sz w:val="22"/>
          <w:szCs w:val="22"/>
        </w:rPr>
      </w:pPr>
    </w:p>
    <w:p w14:paraId="7551B202" w14:textId="5A26F0B5" w:rsidR="00344182" w:rsidRDefault="00344182" w:rsidP="002800E3">
      <w:pPr>
        <w:rPr>
          <w:sz w:val="22"/>
          <w:szCs w:val="22"/>
        </w:rPr>
      </w:pPr>
    </w:p>
    <w:p w14:paraId="22ED44DE" w14:textId="77777777" w:rsidR="00344182" w:rsidRDefault="00344182" w:rsidP="002800E3">
      <w:pPr>
        <w:rPr>
          <w:sz w:val="22"/>
          <w:szCs w:val="22"/>
        </w:rPr>
      </w:pPr>
    </w:p>
    <w:p w14:paraId="57893E9E" w14:textId="40E34D68" w:rsidR="002800E3" w:rsidRPr="00344182" w:rsidRDefault="002800E3" w:rsidP="00344182">
      <w:pPr>
        <w:spacing w:before="160" w:after="760"/>
        <w:ind w:left="397"/>
        <w:jc w:val="center"/>
        <w:rPr>
          <w:sz w:val="36"/>
          <w:szCs w:val="36"/>
        </w:rPr>
      </w:pPr>
      <w:r>
        <w:rPr>
          <w:sz w:val="36"/>
        </w:rPr>
        <w:t>Bericht des unabhängigen Wirtschaftsprüfers</w:t>
      </w:r>
    </w:p>
    <w:p w14:paraId="473415B4" w14:textId="77777777" w:rsidR="002800E3" w:rsidRPr="00344182" w:rsidRDefault="002800E3" w:rsidP="00344182">
      <w:pPr>
        <w:ind w:left="397"/>
        <w:jc w:val="center"/>
        <w:rPr>
          <w:sz w:val="52"/>
          <w:szCs w:val="52"/>
        </w:rPr>
      </w:pPr>
      <w:r>
        <w:rPr>
          <w:sz w:val="52"/>
        </w:rPr>
        <w:t>ZDR Investments SICAV</w:t>
      </w:r>
    </w:p>
    <w:p w14:paraId="34318038" w14:textId="77777777" w:rsidR="002800E3" w:rsidRPr="00344182" w:rsidRDefault="002800E3" w:rsidP="00344182">
      <w:pPr>
        <w:spacing w:after="680"/>
        <w:ind w:left="397"/>
        <w:jc w:val="center"/>
        <w:rPr>
          <w:sz w:val="52"/>
          <w:szCs w:val="52"/>
        </w:rPr>
      </w:pPr>
      <w:proofErr w:type="spellStart"/>
      <w:r>
        <w:rPr>
          <w:sz w:val="52"/>
        </w:rPr>
        <w:t>a.s.</w:t>
      </w:r>
      <w:proofErr w:type="spellEnd"/>
    </w:p>
    <w:p w14:paraId="6A10B869" w14:textId="45845EE2" w:rsidR="002800E3" w:rsidRPr="00344182" w:rsidRDefault="002800E3" w:rsidP="00344182">
      <w:pPr>
        <w:ind w:left="397"/>
        <w:jc w:val="center"/>
      </w:pPr>
      <w:r>
        <w:t>für den geprüften Zeitraum</w:t>
      </w:r>
    </w:p>
    <w:p w14:paraId="1E7F8CB5" w14:textId="77777777" w:rsidR="002800E3" w:rsidRPr="00344182" w:rsidRDefault="002800E3" w:rsidP="00344182">
      <w:pPr>
        <w:ind w:left="397"/>
        <w:jc w:val="center"/>
      </w:pPr>
      <w:r>
        <w:t>vom 1.1.2023 bis zum 31.12.2023</w:t>
      </w:r>
    </w:p>
    <w:p w14:paraId="4D375E2B" w14:textId="77777777" w:rsidR="00344182" w:rsidRDefault="00344182" w:rsidP="00344182">
      <w:pPr>
        <w:ind w:left="227"/>
        <w:rPr>
          <w:sz w:val="22"/>
          <w:szCs w:val="22"/>
        </w:rPr>
      </w:pPr>
    </w:p>
    <w:p w14:paraId="7104CED4" w14:textId="607F9D9D" w:rsidR="00344182" w:rsidRDefault="00344182" w:rsidP="00344182">
      <w:pPr>
        <w:ind w:left="227"/>
        <w:rPr>
          <w:sz w:val="22"/>
          <w:szCs w:val="22"/>
        </w:rPr>
      </w:pPr>
    </w:p>
    <w:p w14:paraId="1ACE80F4" w14:textId="7F35E036" w:rsidR="00344182" w:rsidRDefault="00344182" w:rsidP="00344182">
      <w:pPr>
        <w:ind w:left="227"/>
        <w:rPr>
          <w:sz w:val="22"/>
          <w:szCs w:val="22"/>
        </w:rPr>
      </w:pPr>
    </w:p>
    <w:p w14:paraId="50E77413" w14:textId="5A5CCB80" w:rsidR="00344182" w:rsidRDefault="00344182" w:rsidP="00344182">
      <w:pPr>
        <w:ind w:left="227"/>
        <w:rPr>
          <w:sz w:val="22"/>
          <w:szCs w:val="22"/>
        </w:rPr>
      </w:pPr>
    </w:p>
    <w:p w14:paraId="34F7DC18" w14:textId="77777777" w:rsidR="00344182" w:rsidRDefault="00344182" w:rsidP="00344182">
      <w:pPr>
        <w:ind w:left="227"/>
        <w:rPr>
          <w:sz w:val="22"/>
          <w:szCs w:val="22"/>
        </w:rPr>
      </w:pPr>
    </w:p>
    <w:p w14:paraId="1E45B933" w14:textId="602470B6" w:rsidR="002800E3" w:rsidRPr="00344182" w:rsidRDefault="002800E3" w:rsidP="00344182">
      <w:pPr>
        <w:spacing w:before="60" w:after="320"/>
        <w:ind w:left="255"/>
        <w:rPr>
          <w:b/>
          <w:bCs/>
        </w:rPr>
      </w:pPr>
      <w:r>
        <w:rPr>
          <w:b/>
        </w:rPr>
        <w:t>Identifizierung der Gesellschaft</w:t>
      </w:r>
    </w:p>
    <w:p w14:paraId="73DE8AE7" w14:textId="77777777" w:rsidR="002800E3" w:rsidRPr="00344182" w:rsidRDefault="002800E3" w:rsidP="00344182">
      <w:pPr>
        <w:tabs>
          <w:tab w:val="left" w:pos="2694"/>
        </w:tabs>
        <w:spacing w:after="160"/>
        <w:ind w:left="255"/>
        <w:rPr>
          <w:b/>
          <w:bCs/>
        </w:rPr>
      </w:pPr>
      <w:r>
        <w:t>Firma:</w:t>
      </w:r>
      <w:r>
        <w:tab/>
      </w:r>
      <w:r>
        <w:rPr>
          <w:b/>
        </w:rPr>
        <w:t xml:space="preserve">ZDR Investments SICAV </w:t>
      </w:r>
      <w:proofErr w:type="spellStart"/>
      <w:r>
        <w:rPr>
          <w:b/>
        </w:rPr>
        <w:t>a.s.</w:t>
      </w:r>
      <w:proofErr w:type="spellEnd"/>
    </w:p>
    <w:p w14:paraId="3B83B4A8" w14:textId="77777777" w:rsidR="002800E3" w:rsidRPr="00344182" w:rsidRDefault="002800E3" w:rsidP="00344182">
      <w:pPr>
        <w:tabs>
          <w:tab w:val="left" w:pos="2694"/>
        </w:tabs>
        <w:spacing w:after="200"/>
        <w:ind w:left="255"/>
      </w:pPr>
      <w:r>
        <w:t>Ident.-Nr.:</w:t>
      </w:r>
      <w:r>
        <w:tab/>
        <w:t>064 21 091</w:t>
      </w:r>
    </w:p>
    <w:p w14:paraId="46B66ADF" w14:textId="225866DE" w:rsidR="002800E3" w:rsidRPr="00344182" w:rsidRDefault="002800E3" w:rsidP="00344182">
      <w:pPr>
        <w:tabs>
          <w:tab w:val="left" w:pos="2694"/>
        </w:tabs>
        <w:spacing w:after="160"/>
        <w:ind w:left="255"/>
      </w:pPr>
      <w:r>
        <w:t>Sitz:</w:t>
      </w:r>
      <w:r>
        <w:tab/>
      </w:r>
      <w:proofErr w:type="spellStart"/>
      <w:r>
        <w:t>Jungmannova</w:t>
      </w:r>
      <w:proofErr w:type="spellEnd"/>
      <w:r>
        <w:t xml:space="preserve"> 750/34, 110 00</w:t>
      </w:r>
      <w:r w:rsidR="000F3A73">
        <w:t xml:space="preserve"> </w:t>
      </w:r>
      <w:r>
        <w:t>Praha</w:t>
      </w:r>
    </w:p>
    <w:p w14:paraId="5F2EBEAF" w14:textId="77777777" w:rsidR="002800E3" w:rsidRPr="00344182" w:rsidRDefault="002800E3" w:rsidP="00344182">
      <w:pPr>
        <w:tabs>
          <w:tab w:val="left" w:pos="2694"/>
        </w:tabs>
        <w:spacing w:after="200"/>
        <w:ind w:left="255"/>
      </w:pPr>
      <w:r>
        <w:t>Rechtsform:</w:t>
      </w:r>
      <w:r>
        <w:tab/>
        <w:t>Aktiengesellschaft</w:t>
      </w:r>
    </w:p>
    <w:p w14:paraId="1F5618F7" w14:textId="328FE3B1" w:rsidR="002800E3" w:rsidRDefault="002800E3" w:rsidP="00C5470D">
      <w:pPr>
        <w:tabs>
          <w:tab w:val="left" w:pos="2694"/>
        </w:tabs>
        <w:ind w:left="255"/>
      </w:pPr>
      <w:r>
        <w:t>Aktenzeichen:</w:t>
      </w:r>
      <w:r>
        <w:tab/>
        <w:t>B 22826, Registergericht in Prag</w:t>
      </w:r>
    </w:p>
    <w:p w14:paraId="7877361F" w14:textId="77777777" w:rsidR="00C5470D" w:rsidRDefault="00C5470D" w:rsidP="00344182">
      <w:pPr>
        <w:tabs>
          <w:tab w:val="left" w:pos="2694"/>
        </w:tabs>
        <w:spacing w:after="1320"/>
        <w:ind w:left="255"/>
      </w:pPr>
    </w:p>
    <w:p w14:paraId="1805B639" w14:textId="2E2C66F9" w:rsidR="00C5470D" w:rsidRDefault="00C5470D" w:rsidP="00344182">
      <w:pPr>
        <w:tabs>
          <w:tab w:val="left" w:pos="2694"/>
        </w:tabs>
        <w:spacing w:after="1320"/>
        <w:ind w:left="255"/>
        <w:sectPr w:rsidR="00C5470D" w:rsidSect="00C5470D">
          <w:footerReference w:type="default" r:id="rId12"/>
          <w:headerReference w:type="first" r:id="rId13"/>
          <w:footerReference w:type="first" r:id="rId14"/>
          <w:pgSz w:w="11906" w:h="16838" w:code="9"/>
          <w:pgMar w:top="1418" w:right="1418" w:bottom="1418" w:left="1418" w:header="1304" w:footer="652" w:gutter="0"/>
          <w:cols w:space="708"/>
          <w:docGrid w:linePitch="360"/>
        </w:sectPr>
      </w:pPr>
    </w:p>
    <w:p w14:paraId="46DF5FED" w14:textId="77777777" w:rsidR="005A2E81" w:rsidRDefault="005A2E81" w:rsidP="005A2E81">
      <w:pPr>
        <w:spacing w:line="259" w:lineRule="auto"/>
        <w:rPr>
          <w:b/>
          <w:bCs/>
        </w:rPr>
      </w:pPr>
    </w:p>
    <w:p w14:paraId="5603F673" w14:textId="79A84155" w:rsidR="002800E3" w:rsidRPr="005F7E07" w:rsidRDefault="002800E3" w:rsidP="005F7E07">
      <w:pPr>
        <w:spacing w:after="240" w:line="259" w:lineRule="auto"/>
        <w:rPr>
          <w:b/>
          <w:bCs/>
        </w:rPr>
      </w:pPr>
      <w:r>
        <w:rPr>
          <w:b/>
        </w:rPr>
        <w:t>Der Bericht ist für die Aktionäre der Gesellschaft bestimmt</w:t>
      </w:r>
    </w:p>
    <w:p w14:paraId="71128BF7" w14:textId="77777777" w:rsidR="002800E3" w:rsidRPr="005F7E07" w:rsidRDefault="002800E3" w:rsidP="005F7E07">
      <w:pPr>
        <w:spacing w:after="160" w:line="259" w:lineRule="auto"/>
        <w:rPr>
          <w:b/>
          <w:bCs/>
        </w:rPr>
      </w:pPr>
      <w:r>
        <w:rPr>
          <w:b/>
        </w:rPr>
        <w:t>Bestätigungsvermerk des Wirtschaftsprüfers</w:t>
      </w:r>
    </w:p>
    <w:p w14:paraId="6F907C09" w14:textId="5D4847BD" w:rsidR="002800E3" w:rsidRPr="005F7E07" w:rsidRDefault="002800E3" w:rsidP="005F7E07">
      <w:pPr>
        <w:spacing w:after="120" w:line="259" w:lineRule="auto"/>
        <w:jc w:val="both"/>
      </w:pPr>
      <w:r>
        <w:t xml:space="preserve">Wir haben den beigefügten Jahresabschluss der ZDR Investments SICAV </w:t>
      </w:r>
      <w:proofErr w:type="spellStart"/>
      <w:r>
        <w:t>a.s.</w:t>
      </w:r>
      <w:proofErr w:type="spellEnd"/>
      <w:r>
        <w:t xml:space="preserve"> (im Folgenden auch „Gesellschaft“), der nach den tschechischen Rechnungslegungsvorschriften aufgestellt wurde und der</w:t>
      </w:r>
      <w:r w:rsidR="000F3A73">
        <w:t> </w:t>
      </w:r>
      <w:r>
        <w:t xml:space="preserve">aus der Bilanz zum 31.12.2023, der Gewinn- und Verlustrechnung, der Eigenkapitalveränderungsrechnung und der Aufstellung der außerbilanziellen Posten für das Jahr bis zum 31.12.2023 sowie dem Anhang zu diesem Jahresabschluss mit der Beschreibung der wesentlichen angewandten Bilanzierungsmethoden und sonstigen Erläuterungen, besteht, geprüft. Angaben über die Gesellschaft ZDR Investments SICAV </w:t>
      </w:r>
      <w:proofErr w:type="spellStart"/>
      <w:r>
        <w:t>a.s.</w:t>
      </w:r>
      <w:proofErr w:type="spellEnd"/>
      <w:r>
        <w:t xml:space="preserve"> sind in Ziff. 1 des Anhangs zu diesem Jahresabschluss aufgeführt.</w:t>
      </w:r>
    </w:p>
    <w:p w14:paraId="14F36879" w14:textId="2B59FD8F" w:rsidR="002800E3" w:rsidRPr="005F7E07" w:rsidRDefault="002800E3" w:rsidP="003D615A">
      <w:pPr>
        <w:spacing w:after="440" w:line="259" w:lineRule="auto"/>
        <w:jc w:val="both"/>
        <w:rPr>
          <w:b/>
          <w:bCs/>
        </w:rPr>
      </w:pPr>
      <w:r>
        <w:rPr>
          <w:b/>
        </w:rPr>
        <w:t>Nach unserer Auffassung vermittelt der Jahresabschluss in Übereinstimmung mit den</w:t>
      </w:r>
      <w:r w:rsidR="000F3A73">
        <w:rPr>
          <w:b/>
        </w:rPr>
        <w:t> </w:t>
      </w:r>
      <w:r>
        <w:rPr>
          <w:b/>
        </w:rPr>
        <w:t xml:space="preserve">tschechischen Rechnungslegungsvorschriften ein den tatsächlichen Verhältnissen entsprechendes Bild der Aktiva und Passiva der ZDR Investments SICAV </w:t>
      </w:r>
      <w:proofErr w:type="spellStart"/>
      <w:r>
        <w:rPr>
          <w:b/>
        </w:rPr>
        <w:t>a.s.</w:t>
      </w:r>
      <w:proofErr w:type="spellEnd"/>
      <w:r>
        <w:rPr>
          <w:b/>
        </w:rPr>
        <w:t xml:space="preserve"> zum 31.12.2023 sowie der Aufwendungen, Erträge und des Jahresergebnisses und der außerbilanziellen Posten für das Jahr bis zum 31.12.2023.</w:t>
      </w:r>
    </w:p>
    <w:p w14:paraId="58FB9F88" w14:textId="77777777" w:rsidR="002800E3" w:rsidRPr="005F7E07" w:rsidRDefault="002800E3" w:rsidP="00C97016">
      <w:pPr>
        <w:spacing w:after="160" w:line="259" w:lineRule="auto"/>
        <w:rPr>
          <w:b/>
          <w:bCs/>
        </w:rPr>
      </w:pPr>
      <w:r>
        <w:rPr>
          <w:b/>
        </w:rPr>
        <w:t>Grundlage für den Bestätigungsvermerk</w:t>
      </w:r>
    </w:p>
    <w:p w14:paraId="4823F960" w14:textId="4DC785B3" w:rsidR="002800E3" w:rsidRPr="00C97016" w:rsidRDefault="002800E3" w:rsidP="00C97016">
      <w:pPr>
        <w:spacing w:after="680" w:line="259" w:lineRule="auto"/>
        <w:jc w:val="both"/>
        <w:rPr>
          <w:spacing w:val="1"/>
        </w:rPr>
      </w:pPr>
      <w:r>
        <w:t>Wir haben die Prüfung in Übereinstimmung mit dem tschechischen Gesetz über die Wirtschaftsprüfer und den Standards der Wirtschaftsprüferkammer der Tschechischen Republik für die Wirtschaftsprüfung, mit denen die International Standards on Auditing (ISA) durch einschlägige Anwendungsklauseln gegebenenfalls ergänzt und angepasst sind, durchgeführt. Unsere Verantwortung nach diesen Vorschriften ist im Abschnitt Verantwortung des Abschlussprüfers</w:t>
      </w:r>
      <w:r w:rsidR="000F3A73">
        <w:t xml:space="preserve"> </w:t>
      </w:r>
      <w:r>
        <w:t>für die Prüfung des Jahresabschlusses näher beschrieben. Wir sind von der Gesellschaft unabhängig in Übereinstimmung mit dem Gesetz über die Wirtschaftsprüfer und dem von der Wirtschaftsprüferkammer der Tschechischen Republik verabschiedeten Ethikkodex und haben unsere sonstigen ethischen Pflichten, die sich aus den vorgenannten Vorschriften ergeben, erfüllt. Wir sind der Auffassung, dass die von uns zusammengetragenen Prüfungsnachweise eine ausreichende und geeignete Grundlage für unser Prüfungsurteil bilden.</w:t>
      </w:r>
    </w:p>
    <w:p w14:paraId="2722B0F7" w14:textId="77777777" w:rsidR="002800E3" w:rsidRPr="00C97016" w:rsidRDefault="002800E3" w:rsidP="00C97016">
      <w:pPr>
        <w:spacing w:after="160" w:line="259" w:lineRule="auto"/>
        <w:jc w:val="both"/>
        <w:rPr>
          <w:b/>
          <w:bCs/>
        </w:rPr>
      </w:pPr>
      <w:r>
        <w:rPr>
          <w:b/>
        </w:rPr>
        <w:t>Sonstige im Jahresbericht angeführten Informationen</w:t>
      </w:r>
    </w:p>
    <w:p w14:paraId="78EBCC71" w14:textId="77777777" w:rsidR="002800E3" w:rsidRPr="000F3A73" w:rsidRDefault="002800E3" w:rsidP="00C97016">
      <w:pPr>
        <w:spacing w:after="80" w:line="259" w:lineRule="auto"/>
        <w:jc w:val="both"/>
        <w:rPr>
          <w:spacing w:val="-2"/>
        </w:rPr>
      </w:pPr>
      <w:r w:rsidRPr="000F3A73">
        <w:rPr>
          <w:spacing w:val="-2"/>
        </w:rPr>
        <w:t xml:space="preserve">Unter sonstigen Informationen sind gemäß § 2 </w:t>
      </w:r>
      <w:proofErr w:type="spellStart"/>
      <w:r w:rsidRPr="000F3A73">
        <w:rPr>
          <w:spacing w:val="-2"/>
        </w:rPr>
        <w:t>Lit</w:t>
      </w:r>
      <w:proofErr w:type="spellEnd"/>
      <w:r w:rsidRPr="000F3A73">
        <w:rPr>
          <w:spacing w:val="-2"/>
        </w:rPr>
        <w:t>. b) des Gesetzes über die Wirtschaftsprüfer die im Jahresbericht angeführten Informationen zu verstehen, die nicht im Jahresabschluss oder in unserem Bericht enthalten sind. Für die sonstigen Informationen ist der Verwaltungsrat der Gesellschaft zuständig.</w:t>
      </w:r>
    </w:p>
    <w:p w14:paraId="090F0DA8" w14:textId="0929729B" w:rsidR="002800E3" w:rsidRPr="00C97016" w:rsidRDefault="000B29C1" w:rsidP="00C97016">
      <w:pPr>
        <w:spacing w:after="200" w:line="259" w:lineRule="auto"/>
        <w:jc w:val="both"/>
      </w:pPr>
      <w:r>
        <w:rPr>
          <w:noProof/>
        </w:rPr>
        <w:drawing>
          <wp:anchor distT="0" distB="0" distL="114300" distR="114300" simplePos="0" relativeHeight="251662336" behindDoc="1" locked="0" layoutInCell="1" allowOverlap="1" wp14:anchorId="5E3E0E3C" wp14:editId="043C675E">
            <wp:simplePos x="0" y="0"/>
            <wp:positionH relativeFrom="page">
              <wp:posOffset>5985914</wp:posOffset>
            </wp:positionH>
            <wp:positionV relativeFrom="page">
              <wp:posOffset>9324686</wp:posOffset>
            </wp:positionV>
            <wp:extent cx="1124585" cy="1134110"/>
            <wp:effectExtent l="0" t="0" r="0" b="8890"/>
            <wp:wrapNone/>
            <wp:docPr id="13" name="Shape 12" descr="Obsah obrázku text, Písmo, symbol, logo&#10;&#10;Popis byl vytvořen automaticky"/>
            <wp:cNvGraphicFramePr/>
            <a:graphic xmlns:a="http://schemas.openxmlformats.org/drawingml/2006/main">
              <a:graphicData uri="http://schemas.openxmlformats.org/drawingml/2006/picture">
                <pic:pic xmlns:pic="http://schemas.openxmlformats.org/drawingml/2006/picture">
                  <pic:nvPicPr>
                    <pic:cNvPr id="13" name="Shape 12" descr="Obsah obrázku text, Písmo, symbol, logo&#10;&#10;Popis byl vytvořen automaticky"/>
                    <pic:cNvPicPr/>
                  </pic:nvPicPr>
                  <pic:blipFill>
                    <a:blip r:embed="rId15"/>
                    <a:stretch/>
                  </pic:blipFill>
                  <pic:spPr>
                    <a:xfrm>
                      <a:off x="0" y="0"/>
                      <a:ext cx="1124585" cy="1134110"/>
                    </a:xfrm>
                    <a:prstGeom prst="rect">
                      <a:avLst/>
                    </a:prstGeom>
                  </pic:spPr>
                </pic:pic>
              </a:graphicData>
            </a:graphic>
          </wp:anchor>
        </w:drawing>
      </w:r>
      <w:r w:rsidR="002800E3">
        <w:t xml:space="preserve">Unser Bestätigungsvermerk zum Jahresabschluss bezieht sich auf die sonstigen Informationen nicht. Dennoch gehört es im Zusammenhang mit der Prüfung des Jahresabschlusses zu unseren Pflichten, sich mit den sonstigen Informationen vertraut zu machen und zu beurteilen, ob die sonstigen Informationen in einem wesentlichen (materiellen) Widerspruch zum Jahresabschluss oder zu unserem bei der Prüfung gewonnenen Kenntnissen über die Gesellschaft stehen oder ob diese Informationen anderweitig als wesentlich (materiell) falsch dargestellt erscheinen. Wir beurteilen ferner, ob die sonstigen Informationen in allen wesentlichen (materiellen) Aspekten in Übereinstimmung mit den einschlägigen Rechtsvorschriften erstellt wurden. Diese Beurteilung bedeutet, ob die sonstigen Informationen die gesetzlichen Anforderungen an die formalen Erfordernisse und den Prozess der Erstellung der sonstigen Informationen im Zusammenhang mit der </w:t>
      </w:r>
      <w:r w:rsidR="002800E3">
        <w:lastRenderedPageBreak/>
        <w:t>Wesentlichkeit (Materialität) erfüllen, d. h., ob eine eventuelle Nichteinhaltung der genannten Anforderungen die Beurteilung auf der Grundlage der sonstigen Informationen beeinflussen könnte.</w:t>
      </w:r>
    </w:p>
    <w:p w14:paraId="218B8A39" w14:textId="539EDBAC" w:rsidR="002800E3" w:rsidRPr="000F3A73" w:rsidRDefault="002800E3" w:rsidP="00C97016">
      <w:pPr>
        <w:spacing w:after="120" w:line="259" w:lineRule="auto"/>
        <w:jc w:val="both"/>
        <w:rPr>
          <w:spacing w:val="-2"/>
        </w:rPr>
      </w:pPr>
      <w:r w:rsidRPr="000F3A73">
        <w:rPr>
          <w:spacing w:val="-2"/>
        </w:rPr>
        <w:t>Auf der Grundlage der durchgeführten Verfahren stellen wir, soweit wir dies beurteilen können, fest, dass</w:t>
      </w:r>
    </w:p>
    <w:p w14:paraId="01427C49" w14:textId="56A2B7EB" w:rsidR="002800E3" w:rsidRPr="00C97016" w:rsidRDefault="00C97016" w:rsidP="005A2E81">
      <w:pPr>
        <w:spacing w:line="259" w:lineRule="auto"/>
        <w:jc w:val="both"/>
      </w:pPr>
      <w:r>
        <w:t>• die sonstigen Informationen, welche die Tatsachen beschreiben, die auch im Jahresabschluss dargestellt werden, in allen wesentlichen (materiellen) Aspekten mit dem Jahresabschluss übereinstimmen und</w:t>
      </w:r>
    </w:p>
    <w:p w14:paraId="6EA6AC3F" w14:textId="54C32C31" w:rsidR="002800E3" w:rsidRPr="00C97016" w:rsidRDefault="002800E3" w:rsidP="005A2E81">
      <w:pPr>
        <w:spacing w:line="259" w:lineRule="auto"/>
        <w:jc w:val="both"/>
      </w:pPr>
      <w:r>
        <w:t xml:space="preserve">• die sonstigen Informationen in Übereinstimmung mit den Rechtsvorschriften erstellt wurden. </w:t>
      </w:r>
    </w:p>
    <w:p w14:paraId="0654AE1D" w14:textId="7A60F014" w:rsidR="003C195A" w:rsidRDefault="003C195A" w:rsidP="005A2E81">
      <w:pPr>
        <w:spacing w:line="259" w:lineRule="auto"/>
        <w:jc w:val="both"/>
        <w:rPr>
          <w:sz w:val="22"/>
          <w:szCs w:val="22"/>
        </w:rPr>
      </w:pPr>
    </w:p>
    <w:p w14:paraId="0B2AE1C8" w14:textId="0A8CBEC0" w:rsidR="002800E3" w:rsidRPr="003C195A" w:rsidRDefault="002800E3" w:rsidP="003C195A">
      <w:pPr>
        <w:spacing w:line="259" w:lineRule="auto"/>
        <w:jc w:val="both"/>
      </w:pPr>
      <w:r>
        <w:t>Wir sind darüber hinaus verpflichtet anzuführen, ob die sonstigen Informationen auf der Grundlage unserer Kenntnisse und unseres Verständnisses der Gesellschaft, die wir im Laufe unserer Prüfung erlangt haben, wesentliche (materielle) sachliche falsche Darstellungen enthalten. Im Rahmen dieses Vorgehens haben wir in den erhaltenen sonstigen Informationen keine wesentlichen (materiellen) sachlichen falschen Darstellungen festgestellt.</w:t>
      </w:r>
    </w:p>
    <w:p w14:paraId="780E1DDA" w14:textId="77777777" w:rsidR="003C195A" w:rsidRDefault="003C195A" w:rsidP="003C195A">
      <w:pPr>
        <w:spacing w:line="259" w:lineRule="auto"/>
        <w:jc w:val="both"/>
      </w:pPr>
    </w:p>
    <w:p w14:paraId="07245C19" w14:textId="44144278" w:rsidR="002800E3" w:rsidRPr="003C195A" w:rsidRDefault="002800E3" w:rsidP="003C195A">
      <w:pPr>
        <w:spacing w:after="160" w:line="259" w:lineRule="auto"/>
        <w:jc w:val="both"/>
        <w:rPr>
          <w:b/>
          <w:bCs/>
        </w:rPr>
      </w:pPr>
      <w:r>
        <w:rPr>
          <w:b/>
        </w:rPr>
        <w:t>Verantwortung des Verwaltungsrats der Gesellschaft für den Jahresabschluss</w:t>
      </w:r>
    </w:p>
    <w:p w14:paraId="18EDE587" w14:textId="3F4C651A" w:rsidR="002800E3" w:rsidRPr="003C195A" w:rsidRDefault="002800E3" w:rsidP="003C195A">
      <w:pPr>
        <w:spacing w:after="80" w:line="259" w:lineRule="auto"/>
        <w:jc w:val="both"/>
      </w:pPr>
      <w:r>
        <w:t>Der Verwaltungsrat ist verantwortlich für die Aufstellung des Jahresabschlusses, der in Übereinstimmung mit den tschechischen Rechnungslegungsvorschriften ein den tatsächlichen Verhältnissen entsprechendes Bild vermittelt, sowie für ein solches internes Kontrollsystem, welches er als notwendig erachtet, um die Aufstellung eines Jahresabschlusses, der keine wesentlichen (materiellen) falschen Darstellungen enthält, unabhängig davon, ob diese auf Betrug oder Fehler zurückzuführen sind, zu ermöglichen.</w:t>
      </w:r>
    </w:p>
    <w:p w14:paraId="798B3997" w14:textId="760E2037" w:rsidR="002800E3" w:rsidRPr="003C195A" w:rsidRDefault="002800E3" w:rsidP="003C195A">
      <w:pPr>
        <w:spacing w:after="200" w:line="259" w:lineRule="auto"/>
        <w:jc w:val="both"/>
      </w:pPr>
      <w:r>
        <w:t>Bei der Aufstellung des Jahresabschlusses ist der Verwaltungsrat der Gesellschaft verpflichtet, die Fähigkeit der Gesellschaft zur Fortführung der</w:t>
      </w:r>
      <w:r w:rsidR="000F3A73">
        <w:t xml:space="preserve"> </w:t>
      </w:r>
      <w:r>
        <w:t>Unternehmenstätigkeit zu beurteilen und, sofern</w:t>
      </w:r>
      <w:r w:rsidR="000F3A73">
        <w:t xml:space="preserve"> </w:t>
      </w:r>
      <w:r>
        <w:t>einschlägig, im Anhang zum Jahresabschluss die mit der Fortführung der Unternehmenstätigkeit zusammenhängenden Sachverhalte sowie die Anwendung der Annahme der Unternehmensfortführung bei der Aufstellung des Jahresabschlusses zu beschreiben, mit Ausnahme der Fälle, in denen der Verwaltungsrat die Auflösung der Gesellschaft oder die Beendigung ihrer Tätigkeit plant, bzw. in denen er keine andere reale Möglichkeit hat, als dies zu tun.</w:t>
      </w:r>
    </w:p>
    <w:p w14:paraId="6D2D55FB" w14:textId="52D8311B" w:rsidR="002800E3" w:rsidRPr="003C195A" w:rsidRDefault="002800E3" w:rsidP="003C195A">
      <w:pPr>
        <w:spacing w:after="100" w:line="259" w:lineRule="auto"/>
        <w:jc w:val="both"/>
        <w:rPr>
          <w:b/>
          <w:bCs/>
        </w:rPr>
      </w:pPr>
      <w:r>
        <w:rPr>
          <w:b/>
        </w:rPr>
        <w:t>Verantwortung des Wirtschaftsprüfers für die Prüfung des Jahresabschlusses</w:t>
      </w:r>
    </w:p>
    <w:p w14:paraId="7F486F66" w14:textId="3BCCDB56" w:rsidR="002800E3" w:rsidRPr="003C195A" w:rsidRDefault="002800E3" w:rsidP="003C195A">
      <w:pPr>
        <w:spacing w:after="100" w:line="259" w:lineRule="auto"/>
        <w:jc w:val="both"/>
      </w:pPr>
      <w:r>
        <w:t>Unsere Zielsetzung ist, hinreichende Sicherheit darüber zu erlangen, ob der Jahresabschluss als Ganzes keine wesentliche (materielle) Falschdarstellung, die auf einen Betrug oder einen Fehler zurückzuführen ist, enthält, und einen Bericht des Wirtschaftsprüfers zu erteilen, der unseren Bestätigungsvermerk beinhaltet. Ein angemessener Grad an Sicherheit ist ein hohes Maß an Sicherheit, jedoch keine Garantie dafür, dass eine in Übereinstimmung mit den oben genannten Vorschriften durchgeführte Wirtschaftsprüfung in allen Fällen eine eventuelle wesentliche (materielle) Falschdarstellung im Jahresabschluss aufdeckt. Falsche Darstellungen können auf Betrug oder Fehler zurückzuführen sein und werden als wesentlich (materiell) angesehen, sofern real angenommen werden kann, dass sie einzeln oder in ihrer Gesamtheit die ökonomischen Entscheidungen der Nutzer beeinflussen könnten.</w:t>
      </w:r>
    </w:p>
    <w:p w14:paraId="18E68794" w14:textId="12D423E7" w:rsidR="002800E3" w:rsidRPr="003C195A" w:rsidRDefault="002800E3" w:rsidP="003C195A">
      <w:pPr>
        <w:spacing w:after="160" w:line="259" w:lineRule="auto"/>
        <w:jc w:val="both"/>
      </w:pPr>
      <w:r>
        <w:t>Bei der Durchführung der Prüfung in Übereinstimmung mit den oben genannten Vorschriften sind wir verpflichtet, während der gesamten Prüfung fachliche Beurteilung anzuwenden und berufliche Skepsis zu bewahren. Unsere Pflicht ist darüber hinaus:</w:t>
      </w:r>
    </w:p>
    <w:p w14:paraId="5EEC056A" w14:textId="66DEC241" w:rsidR="002800E3" w:rsidRPr="003C195A" w:rsidRDefault="000B29C1" w:rsidP="003C195A">
      <w:pPr>
        <w:spacing w:after="100" w:line="259" w:lineRule="auto"/>
        <w:jc w:val="both"/>
      </w:pPr>
      <w:r>
        <w:rPr>
          <w:noProof/>
        </w:rPr>
        <w:drawing>
          <wp:anchor distT="0" distB="0" distL="114300" distR="114300" simplePos="0" relativeHeight="251663360" behindDoc="1" locked="0" layoutInCell="1" allowOverlap="1" wp14:anchorId="01529C19" wp14:editId="0ACF2F34">
            <wp:simplePos x="0" y="0"/>
            <wp:positionH relativeFrom="page">
              <wp:align>right</wp:align>
            </wp:positionH>
            <wp:positionV relativeFrom="paragraph">
              <wp:posOffset>363335</wp:posOffset>
            </wp:positionV>
            <wp:extent cx="1173480" cy="993140"/>
            <wp:effectExtent l="0" t="0" r="7620" b="0"/>
            <wp:wrapNone/>
            <wp:docPr id="16" name="Obrázek 16" descr="Obsah obrázku text, Písmo,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text, Písmo, symbol, logo&#10;&#10;Popis byl vytvořen automatick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73480" cy="993140"/>
                    </a:xfrm>
                    <a:prstGeom prst="rect">
                      <a:avLst/>
                    </a:prstGeom>
                  </pic:spPr>
                </pic:pic>
              </a:graphicData>
            </a:graphic>
          </wp:anchor>
        </w:drawing>
      </w:r>
      <w:r w:rsidR="002800E3">
        <w:t xml:space="preserve">• Risiken der durch Betrug oder Fehler beigeführten wesentlichen (materiellen) falschen Darstellungen im Jahresabschluss zu identifizieren und zu beurteilen, Prüfungsverfahren, die auf solche Risiken reagieren, vorzuschlagen und durchzuführen, und ausreichende und geeignete Beweisinformationen zu gewinnen, damit wir auf deren Grundlage unseren Bestätigungsvermerk abgeben können.  Das </w:t>
      </w:r>
      <w:r w:rsidR="002800E3">
        <w:lastRenderedPageBreak/>
        <w:t>Risiko, dass wir eine wesentliche (materielle) falsche Darstellung, die auf einen Betrug zurückzuführen ist, nicht aufdecken, ist größer als das Risiko, dass eine wesentliche (materielle) falsche Darstellung, die auf einen Fehler zurückzuführen ist, nicht aufgedeckt wird, da Betrug geheime Absprachen (Kollusionen), Fälschungen, absichtliche Unterlassungen, unwahre Aussagen oder die Umgehung interner Kontrollen beinhalten kann.</w:t>
      </w:r>
    </w:p>
    <w:p w14:paraId="1F98ACBE" w14:textId="44796A56" w:rsidR="002800E3" w:rsidRPr="003C195A" w:rsidRDefault="002800E3" w:rsidP="003C195A">
      <w:pPr>
        <w:spacing w:after="100" w:line="259" w:lineRule="auto"/>
        <w:jc w:val="both"/>
      </w:pPr>
      <w:r>
        <w:t>• Sich mit dem für die Prüfung relevanten internen Kontrollsystem der Gesellschaft in einem solchen Umfang vertraut zu machen, um den Umständen angemessene Prüfungsverfahren vorschlagen zu können, nicht jedoch, um Stellungnahmen zur Wirksamkeit des internen Kontrollsystems der Gesellschaft abgeben zu können.</w:t>
      </w:r>
    </w:p>
    <w:p w14:paraId="3F27CAD1" w14:textId="4CD5C6DE" w:rsidR="002800E3" w:rsidRPr="003C195A" w:rsidRDefault="002800E3" w:rsidP="003C195A">
      <w:pPr>
        <w:spacing w:after="160" w:line="259" w:lineRule="auto"/>
        <w:jc w:val="both"/>
      </w:pPr>
      <w:r>
        <w:t>• Die Angemessenheit der angewandten Rechnungslegungsvorschriften, die Angemessenheit der vorgenommenen rechnungslegungsbezogenen Schätzungen und der Informationen, die der Verwaltungsrat der Gesellschaft in diesem Zusammenhang im Anhang zum Jahresabschluss angeführt hat, zu beurteilen.</w:t>
      </w:r>
    </w:p>
    <w:p w14:paraId="749C8CF0" w14:textId="34EAA25A" w:rsidR="002800E3" w:rsidRPr="003C195A" w:rsidRDefault="003959C8" w:rsidP="003C195A">
      <w:pPr>
        <w:spacing w:line="259" w:lineRule="auto"/>
        <w:jc w:val="both"/>
      </w:pPr>
      <w:r>
        <w:t>• Die Angemessenheit der Anwendung der Annahme der Unternehmensfortführung durch den Verwaltungsrat bei der Aufstellung des Jahresabschlusses sowie, auf der Grundlage der erlangten Prüfungsnachweise, ob eine wesentliche (materielle) Unsicherheit im Zusammenhang mit</w:t>
      </w:r>
      <w:r w:rsidR="000B29C1">
        <w:t xml:space="preserve"> </w:t>
      </w:r>
      <w:r>
        <w:t>Ereignissen oder Gegebenheiten besteht, die bedeutsame Zweifel an der Fähigkeit der Gesellschaft zur Fortführung der Unternehmenstätigkeit aufwerfen können, zu beurteilen. Falls wir zu dem Schluss kommen, dass eine wesentliche Unsicherheit besteht, sind wir verpflichtet, in unserem Bericht auf die dazugehörigen Angaben im Anhang zum Jahresabschluss aufmerksam zu machen, und falls diese Angaben unangemessen sind, unseren Bestätigungsvermerk zu modifizieren. Wir ziehen unsere Schlussfolgerungen auf der Grundlage der bis zum Datum unseres Bestätigungsvermerks erlangten Prüfungsnachweise. Zukünftige Ereignisse oder Gegebenheiten</w:t>
      </w:r>
      <w:r w:rsidR="000B29C1">
        <w:t xml:space="preserve"> </w:t>
      </w:r>
      <w:r>
        <w:t>können jedoch dazu führen, dass die Gesellschaft ihre Unternehmenstätigkeit nicht mehr fortführen kann.</w:t>
      </w:r>
    </w:p>
    <w:p w14:paraId="21ADDB58" w14:textId="77777777" w:rsidR="001F4EDA" w:rsidRPr="001F4EDA" w:rsidRDefault="001F4EDA" w:rsidP="003C195A">
      <w:pPr>
        <w:spacing w:line="259" w:lineRule="auto"/>
        <w:rPr>
          <w:sz w:val="10"/>
          <w:szCs w:val="10"/>
        </w:rPr>
      </w:pPr>
    </w:p>
    <w:p w14:paraId="34D7CB4C" w14:textId="06321E7E" w:rsidR="002800E3" w:rsidRPr="001F4EDA" w:rsidRDefault="002800E3" w:rsidP="003E7774">
      <w:pPr>
        <w:spacing w:after="100" w:line="259" w:lineRule="auto"/>
        <w:ind w:left="57" w:right="-57"/>
        <w:jc w:val="both"/>
        <w:rPr>
          <w:spacing w:val="2"/>
        </w:rPr>
      </w:pPr>
      <w:r>
        <w:t>• Die Gesamtdarstellung, den Aufbau und den</w:t>
      </w:r>
      <w:r w:rsidR="000B29C1">
        <w:t xml:space="preserve"> </w:t>
      </w:r>
      <w:r>
        <w:t>Inhalt des Jahresabschlusses, einschließlich des Anhangs, sowie ob der Jahresabschluss die zugrunde liegenden Geschäftsvorfälle und Ereignisse so darstellt, dass sie ein den tatsächlichen Verhältnissen entsprechendes Bild ergeben, zu beurteilen.</w:t>
      </w:r>
    </w:p>
    <w:p w14:paraId="559F030B" w14:textId="3F16D52C" w:rsidR="002800E3" w:rsidRPr="003C195A" w:rsidRDefault="002800E3" w:rsidP="000B29C1">
      <w:pPr>
        <w:spacing w:after="800" w:line="259" w:lineRule="auto"/>
        <w:ind w:left="57" w:right="-57"/>
        <w:jc w:val="both"/>
      </w:pPr>
      <w:r>
        <w:t>Unsere Pflicht ist es, den Verwaltungsrat der Gesellschaft unter anderem über den geplanten Umfang und die Zeitplanung der Prüfung sowie bedeutsame Prüfungsfeststellungen, einschließlich</w:t>
      </w:r>
      <w:r w:rsidR="000B29C1">
        <w:t xml:space="preserve"> </w:t>
      </w:r>
      <w:r>
        <w:t>etwaiger Mängel im internen Kontrollsystem, die wir</w:t>
      </w:r>
      <w:r w:rsidR="000B29C1">
        <w:t xml:space="preserve"> </w:t>
      </w:r>
      <w:r>
        <w:t>während unserer Prüfung feststellen, zu informieren.</w:t>
      </w:r>
    </w:p>
    <w:p w14:paraId="50448E11" w14:textId="77D95511" w:rsidR="002800E3" w:rsidRDefault="001F4EDA" w:rsidP="001F4EDA">
      <w:pPr>
        <w:spacing w:after="1160" w:line="259" w:lineRule="auto"/>
        <w:ind w:left="57"/>
        <w:jc w:val="both"/>
      </w:pPr>
      <w:r>
        <w:rPr>
          <w:noProof/>
        </w:rPr>
        <w:drawing>
          <wp:anchor distT="0" distB="0" distL="0" distR="0" simplePos="0" relativeHeight="251665408" behindDoc="1" locked="0" layoutInCell="1" allowOverlap="1" wp14:anchorId="540B1658" wp14:editId="21E711CC">
            <wp:simplePos x="0" y="0"/>
            <wp:positionH relativeFrom="margin">
              <wp:posOffset>27940</wp:posOffset>
            </wp:positionH>
            <wp:positionV relativeFrom="paragraph">
              <wp:posOffset>198450</wp:posOffset>
            </wp:positionV>
            <wp:extent cx="4453255" cy="1118870"/>
            <wp:effectExtent l="0" t="0" r="4445" b="5080"/>
            <wp:wrapNone/>
            <wp:docPr id="18" name="Shape 16" descr="Obsah obrázku Písmo, skica, kruh, řada/pruh&#10;&#10;Popis byl vytvořen automaticky"/>
            <wp:cNvGraphicFramePr/>
            <a:graphic xmlns:a="http://schemas.openxmlformats.org/drawingml/2006/main">
              <a:graphicData uri="http://schemas.openxmlformats.org/drawingml/2006/picture">
                <pic:pic xmlns:pic="http://schemas.openxmlformats.org/drawingml/2006/picture">
                  <pic:nvPicPr>
                    <pic:cNvPr id="18" name="Shape 16" descr="Obsah obrázku Písmo, skica, kruh, řada/pruh&#10;&#10;Popis byl vytvořen automaticky"/>
                    <pic:cNvPicPr/>
                  </pic:nvPicPr>
                  <pic:blipFill>
                    <a:blip r:embed="rId17"/>
                    <a:stretch/>
                  </pic:blipFill>
                  <pic:spPr>
                    <a:xfrm>
                      <a:off x="0" y="0"/>
                      <a:ext cx="4453255" cy="1118870"/>
                    </a:xfrm>
                    <a:prstGeom prst="rect">
                      <a:avLst/>
                    </a:prstGeom>
                  </pic:spPr>
                </pic:pic>
              </a:graphicData>
            </a:graphic>
          </wp:anchor>
        </w:drawing>
      </w:r>
      <w:r>
        <w:t>Prag, den 30.4.2024</w:t>
      </w:r>
    </w:p>
    <w:p w14:paraId="730841FC" w14:textId="06D6C1E6" w:rsidR="001F4EDA" w:rsidRDefault="001F4EDA" w:rsidP="001F4EDA">
      <w:pPr>
        <w:pBdr>
          <w:bottom w:val="dotted" w:sz="12" w:space="1" w:color="auto"/>
        </w:pBdr>
        <w:spacing w:line="259" w:lineRule="auto"/>
        <w:ind w:left="113" w:right="5697"/>
        <w:jc w:val="both"/>
      </w:pPr>
    </w:p>
    <w:p w14:paraId="6A6CA0E1" w14:textId="77777777" w:rsidR="001F4EDA" w:rsidRPr="003C195A" w:rsidRDefault="001F4EDA" w:rsidP="001F4EDA">
      <w:pPr>
        <w:spacing w:line="259" w:lineRule="auto"/>
        <w:ind w:left="57"/>
        <w:jc w:val="both"/>
      </w:pPr>
    </w:p>
    <w:p w14:paraId="710B108B" w14:textId="77777777" w:rsidR="002800E3" w:rsidRPr="001F4EDA" w:rsidRDefault="002800E3" w:rsidP="001F4EDA">
      <w:pPr>
        <w:spacing w:after="50"/>
        <w:ind w:left="57"/>
      </w:pPr>
      <w:r>
        <w:t>Wirtschaftsprüfer:</w:t>
      </w:r>
    </w:p>
    <w:p w14:paraId="508693B0" w14:textId="77777777" w:rsidR="002800E3" w:rsidRPr="001F4EDA" w:rsidRDefault="002800E3" w:rsidP="000B29C1">
      <w:pPr>
        <w:tabs>
          <w:tab w:val="left" w:pos="4962"/>
        </w:tabs>
        <w:spacing w:after="50"/>
        <w:ind w:left="57"/>
      </w:pPr>
      <w:r>
        <w:t>Ing. David Mrozek</w:t>
      </w:r>
      <w:r>
        <w:tab/>
        <w:t xml:space="preserve">TPA Audit </w:t>
      </w:r>
      <w:proofErr w:type="spellStart"/>
      <w:r>
        <w:t>s.r.o</w:t>
      </w:r>
      <w:proofErr w:type="spellEnd"/>
      <w:r>
        <w:t>.</w:t>
      </w:r>
    </w:p>
    <w:p w14:paraId="550FDF1B" w14:textId="49DF5A21" w:rsidR="000B29C1" w:rsidRDefault="002800E3" w:rsidP="000B29C1">
      <w:pPr>
        <w:tabs>
          <w:tab w:val="left" w:pos="4962"/>
        </w:tabs>
        <w:spacing w:after="50"/>
        <w:ind w:left="57"/>
      </w:pPr>
      <w:r>
        <w:t>Zulassung Nr. 2309 Wirtschaftsprüferkammer</w:t>
      </w:r>
      <w:r w:rsidR="000B29C1">
        <w:tab/>
      </w:r>
      <w:proofErr w:type="spellStart"/>
      <w:r w:rsidR="000B29C1">
        <w:t>Antala</w:t>
      </w:r>
      <w:proofErr w:type="spellEnd"/>
      <w:r w:rsidR="000B29C1">
        <w:t xml:space="preserve"> </w:t>
      </w:r>
      <w:proofErr w:type="spellStart"/>
      <w:r w:rsidR="000B29C1">
        <w:t>Staška</w:t>
      </w:r>
      <w:proofErr w:type="spellEnd"/>
      <w:r w:rsidR="000B29C1">
        <w:t xml:space="preserve"> 2027/79, Praha 4</w:t>
      </w:r>
    </w:p>
    <w:p w14:paraId="78A2B2F4" w14:textId="77777777" w:rsidR="000B29C1" w:rsidRDefault="002800E3" w:rsidP="000B29C1">
      <w:pPr>
        <w:tabs>
          <w:tab w:val="left" w:pos="4962"/>
        </w:tabs>
        <w:spacing w:after="50"/>
        <w:ind w:left="57"/>
      </w:pPr>
      <w:r>
        <w:t>der Tschechischen Republik</w:t>
      </w:r>
      <w:r w:rsidR="000B29C1">
        <w:tab/>
      </w:r>
      <w:r w:rsidR="000B29C1">
        <w:t>Zulassung Nr. 080</w:t>
      </w:r>
      <w:r w:rsidR="000B29C1" w:rsidRPr="000B29C1">
        <w:t xml:space="preserve"> </w:t>
      </w:r>
      <w:r w:rsidR="000B29C1">
        <w:t>Wirtschaftsprüferkammer</w:t>
      </w:r>
    </w:p>
    <w:p w14:paraId="0F411F3D" w14:textId="5B4B73B4" w:rsidR="002800E3" w:rsidRDefault="001F4EDA" w:rsidP="000B29C1">
      <w:pPr>
        <w:tabs>
          <w:tab w:val="left" w:pos="4962"/>
        </w:tabs>
        <w:spacing w:after="50"/>
        <w:ind w:left="57"/>
      </w:pPr>
      <w:r>
        <w:tab/>
        <w:t>der Tschechischen Republik</w:t>
      </w:r>
    </w:p>
    <w:p w14:paraId="2491CDF3" w14:textId="77777777" w:rsidR="001F4EDA" w:rsidRPr="000B29C1" w:rsidRDefault="001F4EDA" w:rsidP="001F4EDA">
      <w:pPr>
        <w:tabs>
          <w:tab w:val="left" w:pos="5415"/>
        </w:tabs>
        <w:ind w:left="57"/>
        <w:rPr>
          <w:sz w:val="10"/>
          <w:szCs w:val="10"/>
        </w:rPr>
      </w:pPr>
    </w:p>
    <w:p w14:paraId="4AC3C9CC" w14:textId="77777777" w:rsidR="001F4EDA" w:rsidRPr="000B29C1" w:rsidRDefault="001F4EDA" w:rsidP="002800E3">
      <w:pPr>
        <w:rPr>
          <w:sz w:val="10"/>
          <w:szCs w:val="10"/>
        </w:rPr>
        <w:sectPr w:rsidR="001F4EDA" w:rsidRPr="000B29C1" w:rsidSect="003C195A">
          <w:headerReference w:type="default" r:id="rId18"/>
          <w:footerReference w:type="default" r:id="rId19"/>
          <w:pgSz w:w="11906" w:h="16838" w:code="9"/>
          <w:pgMar w:top="3119" w:right="1304" w:bottom="1134" w:left="1644" w:header="1304" w:footer="709" w:gutter="0"/>
          <w:cols w:space="708"/>
          <w:docGrid w:linePitch="360"/>
        </w:sectPr>
      </w:pPr>
    </w:p>
    <w:p w14:paraId="50582D11" w14:textId="436D14CD" w:rsidR="002800E3" w:rsidRPr="00E3110A" w:rsidRDefault="002800E3" w:rsidP="00E94F13">
      <w:pPr>
        <w:spacing w:after="440"/>
        <w:rPr>
          <w:b/>
          <w:bCs/>
          <w:sz w:val="22"/>
          <w:szCs w:val="22"/>
        </w:rPr>
      </w:pPr>
      <w:r>
        <w:rPr>
          <w:b/>
          <w:sz w:val="22"/>
        </w:rPr>
        <w:lastRenderedPageBreak/>
        <w:t>UNTERNEHMENSPROFIL</w:t>
      </w:r>
    </w:p>
    <w:p w14:paraId="00632AAB" w14:textId="77777777" w:rsidR="002800E3" w:rsidRPr="00E3110A" w:rsidRDefault="002800E3" w:rsidP="00E3110A">
      <w:pPr>
        <w:spacing w:after="280"/>
        <w:rPr>
          <w:b/>
          <w:bCs/>
          <w:color w:val="009DA8"/>
          <w:sz w:val="22"/>
          <w:szCs w:val="22"/>
        </w:rPr>
      </w:pPr>
      <w:r>
        <w:rPr>
          <w:b/>
          <w:color w:val="009DA8"/>
          <w:sz w:val="22"/>
        </w:rPr>
        <w:t>Grundlegende Angaben zur Gesellschaft</w:t>
      </w:r>
    </w:p>
    <w:p w14:paraId="776897B1" w14:textId="77777777" w:rsidR="002800E3" w:rsidRPr="00E3110A" w:rsidRDefault="002800E3" w:rsidP="002800E3">
      <w:pPr>
        <w:rPr>
          <w:sz w:val="22"/>
          <w:szCs w:val="22"/>
        </w:rPr>
      </w:pPr>
      <w:r>
        <w:rPr>
          <w:sz w:val="22"/>
        </w:rPr>
        <w:t>ZDR Investments SICAV a. s.</w:t>
      </w:r>
    </w:p>
    <w:p w14:paraId="02905CA3" w14:textId="77777777" w:rsidR="002800E3" w:rsidRPr="00E3110A" w:rsidRDefault="002800E3" w:rsidP="002800E3">
      <w:pPr>
        <w:rPr>
          <w:sz w:val="22"/>
          <w:szCs w:val="22"/>
        </w:rPr>
      </w:pPr>
      <w:r>
        <w:rPr>
          <w:sz w:val="22"/>
        </w:rPr>
        <w:t>Ident.-Nr.: 064 21 091</w:t>
      </w:r>
    </w:p>
    <w:p w14:paraId="773E9A53" w14:textId="77777777" w:rsidR="002800E3" w:rsidRPr="00AD1EE2" w:rsidRDefault="002800E3" w:rsidP="002800E3">
      <w:pPr>
        <w:rPr>
          <w:sz w:val="22"/>
          <w:szCs w:val="22"/>
        </w:rPr>
      </w:pPr>
      <w:r>
        <w:rPr>
          <w:sz w:val="22"/>
        </w:rPr>
        <w:t xml:space="preserve">Sitz: </w:t>
      </w:r>
      <w:proofErr w:type="spellStart"/>
      <w:r>
        <w:rPr>
          <w:sz w:val="22"/>
        </w:rPr>
        <w:t>Jungmannova</w:t>
      </w:r>
      <w:proofErr w:type="spellEnd"/>
      <w:r>
        <w:rPr>
          <w:sz w:val="22"/>
        </w:rPr>
        <w:t xml:space="preserve"> 750/34, </w:t>
      </w:r>
      <w:proofErr w:type="spellStart"/>
      <w:r>
        <w:rPr>
          <w:sz w:val="22"/>
        </w:rPr>
        <w:t>Nové</w:t>
      </w:r>
      <w:proofErr w:type="spellEnd"/>
      <w:r>
        <w:rPr>
          <w:sz w:val="22"/>
        </w:rPr>
        <w:t xml:space="preserve"> </w:t>
      </w:r>
      <w:proofErr w:type="spellStart"/>
      <w:r>
        <w:rPr>
          <w:sz w:val="22"/>
        </w:rPr>
        <w:t>Město</w:t>
      </w:r>
      <w:proofErr w:type="spellEnd"/>
      <w:r>
        <w:rPr>
          <w:sz w:val="22"/>
        </w:rPr>
        <w:t>, 110 00 Praha 1</w:t>
      </w:r>
    </w:p>
    <w:p w14:paraId="37B35C70" w14:textId="77777777" w:rsidR="002800E3" w:rsidRPr="00AD1EE2" w:rsidRDefault="002800E3" w:rsidP="002800E3">
      <w:pPr>
        <w:rPr>
          <w:sz w:val="22"/>
          <w:szCs w:val="22"/>
        </w:rPr>
      </w:pPr>
      <w:r>
        <w:rPr>
          <w:sz w:val="22"/>
        </w:rPr>
        <w:t>eingetragen im Handelsregister des Stadtgerichts in Prag, Aktenzeichen B 22826</w:t>
      </w:r>
    </w:p>
    <w:p w14:paraId="76EE1006" w14:textId="77777777" w:rsidR="002800E3" w:rsidRPr="00AD1EE2" w:rsidRDefault="002800E3" w:rsidP="00E3110A">
      <w:pPr>
        <w:rPr>
          <w:sz w:val="22"/>
          <w:szCs w:val="22"/>
        </w:rPr>
      </w:pPr>
      <w:r>
        <w:rPr>
          <w:sz w:val="22"/>
        </w:rPr>
        <w:t>(im Folgenden „</w:t>
      </w:r>
      <w:r>
        <w:rPr>
          <w:b/>
          <w:sz w:val="22"/>
        </w:rPr>
        <w:t>Gesellschaft</w:t>
      </w:r>
      <w:r>
        <w:rPr>
          <w:sz w:val="22"/>
        </w:rPr>
        <w:t>“)</w:t>
      </w:r>
    </w:p>
    <w:p w14:paraId="737B1A2F" w14:textId="77777777" w:rsidR="00E3110A" w:rsidRDefault="00E3110A" w:rsidP="00E3110A">
      <w:pPr>
        <w:jc w:val="both"/>
        <w:rPr>
          <w:sz w:val="22"/>
          <w:szCs w:val="22"/>
        </w:rPr>
      </w:pPr>
    </w:p>
    <w:p w14:paraId="25E9A021" w14:textId="1AE8E3E2" w:rsidR="002800E3" w:rsidRPr="00E94F13" w:rsidRDefault="002800E3" w:rsidP="00E3110A">
      <w:pPr>
        <w:jc w:val="both"/>
        <w:rPr>
          <w:spacing w:val="-3"/>
          <w:sz w:val="22"/>
          <w:szCs w:val="22"/>
        </w:rPr>
      </w:pPr>
      <w:r w:rsidRPr="00E94F13">
        <w:rPr>
          <w:spacing w:val="-3"/>
          <w:sz w:val="22"/>
        </w:rPr>
        <w:t>Die Gesellschaft wurde durch einen Gründungsrechtsakt in Übereinstimmung mit den Bestimmungen des § 125 des Gesetzes Nr. 89/2012 GBl., tschechisches Bürgerliche Gesetzbuch, in der geltenden Fassung, und den Bestimmungen des § 2 Abs. 2 des tschechischen Gesetzes Nr. 90/2012 GBl., über Handelsgesellschaften und Genossenschaften, in der durch die Annahme der Satzung vom 29. Mai 2017 geltenden Fassung, gegründet.</w:t>
      </w:r>
    </w:p>
    <w:p w14:paraId="2365FEB3" w14:textId="77777777" w:rsidR="00E3110A" w:rsidRDefault="00E3110A" w:rsidP="00E3110A">
      <w:pPr>
        <w:jc w:val="both"/>
        <w:rPr>
          <w:sz w:val="22"/>
          <w:szCs w:val="22"/>
        </w:rPr>
      </w:pPr>
    </w:p>
    <w:p w14:paraId="0EB0E5D6" w14:textId="2B958D99" w:rsidR="002800E3" w:rsidRPr="00AD1EE2" w:rsidRDefault="002800E3" w:rsidP="00E3110A">
      <w:pPr>
        <w:jc w:val="both"/>
        <w:rPr>
          <w:sz w:val="22"/>
          <w:szCs w:val="22"/>
        </w:rPr>
      </w:pPr>
      <w:r>
        <w:rPr>
          <w:sz w:val="22"/>
        </w:rPr>
        <w:t xml:space="preserve">Die Gesellschaft ist durch die Eintragung im Handelsregister am 12. September 2017 entstanden. Die Gesellschaft wurde am 20. Juli 2017 in die von der Tschechischen Nationalbank geführte Liste der Investmentfonds gemäß § 597 </w:t>
      </w:r>
      <w:proofErr w:type="spellStart"/>
      <w:r>
        <w:rPr>
          <w:sz w:val="22"/>
        </w:rPr>
        <w:t>Lit</w:t>
      </w:r>
      <w:proofErr w:type="spellEnd"/>
      <w:r>
        <w:rPr>
          <w:sz w:val="22"/>
        </w:rPr>
        <w:t>. a) des tschechischen Gesetzes Nr. 240/2013 GBl. über Investmentgesellschaften und Investmentfonds in der geltenden Fassung (im Folgenden „</w:t>
      </w:r>
      <w:proofErr w:type="spellStart"/>
      <w:r>
        <w:rPr>
          <w:b/>
          <w:bCs/>
          <w:sz w:val="22"/>
        </w:rPr>
        <w:t>InvG</w:t>
      </w:r>
      <w:proofErr w:type="spellEnd"/>
      <w:r>
        <w:rPr>
          <w:sz w:val="22"/>
        </w:rPr>
        <w:t>“) eingetragen.</w:t>
      </w:r>
    </w:p>
    <w:p w14:paraId="5BD2C175" w14:textId="77777777" w:rsidR="00E3110A" w:rsidRDefault="00E3110A" w:rsidP="00E3110A">
      <w:pPr>
        <w:jc w:val="both"/>
        <w:rPr>
          <w:sz w:val="22"/>
          <w:szCs w:val="22"/>
        </w:rPr>
      </w:pPr>
    </w:p>
    <w:p w14:paraId="28A5F922" w14:textId="77777777" w:rsidR="00E3110A" w:rsidRDefault="00E3110A" w:rsidP="00E3110A">
      <w:pPr>
        <w:jc w:val="both"/>
        <w:rPr>
          <w:sz w:val="22"/>
          <w:szCs w:val="22"/>
        </w:rPr>
      </w:pPr>
    </w:p>
    <w:p w14:paraId="336E0009" w14:textId="3F548603" w:rsidR="002800E3" w:rsidRPr="00E3110A" w:rsidRDefault="002800E3" w:rsidP="00E3110A">
      <w:pPr>
        <w:jc w:val="both"/>
        <w:rPr>
          <w:b/>
          <w:bCs/>
          <w:color w:val="009DA8"/>
          <w:sz w:val="22"/>
          <w:szCs w:val="22"/>
        </w:rPr>
      </w:pPr>
      <w:r>
        <w:rPr>
          <w:b/>
          <w:color w:val="009DA8"/>
          <w:sz w:val="22"/>
        </w:rPr>
        <w:t>Gegenstand der unternehmerischen Tätigkeit</w:t>
      </w:r>
    </w:p>
    <w:p w14:paraId="51605A5D" w14:textId="77777777" w:rsidR="00E3110A" w:rsidRDefault="00E3110A" w:rsidP="002800E3">
      <w:pPr>
        <w:rPr>
          <w:sz w:val="22"/>
          <w:szCs w:val="22"/>
        </w:rPr>
      </w:pPr>
    </w:p>
    <w:p w14:paraId="1E042314" w14:textId="0253513E" w:rsidR="002800E3" w:rsidRPr="00AD1EE2" w:rsidRDefault="002800E3" w:rsidP="00CC7165">
      <w:pPr>
        <w:jc w:val="both"/>
        <w:rPr>
          <w:sz w:val="22"/>
          <w:szCs w:val="22"/>
        </w:rPr>
      </w:pPr>
      <w:r>
        <w:rPr>
          <w:sz w:val="22"/>
        </w:rPr>
        <w:t>Gegenstand der unternehmerischen Tätigkeit der Gesellschaft ist die Tätigkeit eines Investmentfonds qualifizierter Anleger im Sinne des Gesetzes über Investmentgesellschaften und Investmentfonds.</w:t>
      </w:r>
    </w:p>
    <w:p w14:paraId="1D77D327" w14:textId="77777777" w:rsidR="00E3110A" w:rsidRDefault="00E3110A" w:rsidP="002800E3">
      <w:pPr>
        <w:rPr>
          <w:sz w:val="22"/>
          <w:szCs w:val="22"/>
        </w:rPr>
      </w:pPr>
    </w:p>
    <w:p w14:paraId="3A14A1F5" w14:textId="77777777" w:rsidR="00E3110A" w:rsidRDefault="00E3110A" w:rsidP="002800E3">
      <w:pPr>
        <w:rPr>
          <w:sz w:val="22"/>
          <w:szCs w:val="22"/>
        </w:rPr>
      </w:pPr>
    </w:p>
    <w:p w14:paraId="1FC26686" w14:textId="18EC3E09" w:rsidR="002800E3" w:rsidRPr="00E3110A" w:rsidRDefault="002800E3" w:rsidP="00E3110A">
      <w:pPr>
        <w:jc w:val="both"/>
        <w:rPr>
          <w:b/>
          <w:bCs/>
          <w:color w:val="009DA8"/>
          <w:sz w:val="22"/>
          <w:szCs w:val="22"/>
        </w:rPr>
      </w:pPr>
      <w:r>
        <w:rPr>
          <w:b/>
          <w:color w:val="009DA8"/>
          <w:sz w:val="22"/>
        </w:rPr>
        <w:t>LEI der Gesellschaft</w:t>
      </w:r>
    </w:p>
    <w:p w14:paraId="19BFEC41" w14:textId="77777777" w:rsidR="00E3110A" w:rsidRDefault="00E3110A" w:rsidP="002800E3">
      <w:pPr>
        <w:rPr>
          <w:sz w:val="22"/>
          <w:szCs w:val="22"/>
        </w:rPr>
      </w:pPr>
    </w:p>
    <w:p w14:paraId="7FE3D541" w14:textId="72D74776" w:rsidR="002800E3" w:rsidRDefault="002800E3" w:rsidP="002800E3">
      <w:pPr>
        <w:rPr>
          <w:sz w:val="22"/>
          <w:szCs w:val="22"/>
        </w:rPr>
      </w:pPr>
      <w:r>
        <w:rPr>
          <w:sz w:val="22"/>
        </w:rPr>
        <w:t>3157007F21XKI9OE9C36</w:t>
      </w:r>
    </w:p>
    <w:p w14:paraId="76841C29" w14:textId="77777777" w:rsidR="00E3110A" w:rsidRPr="00AD1EE2" w:rsidRDefault="00E3110A" w:rsidP="002800E3">
      <w:pPr>
        <w:rPr>
          <w:sz w:val="22"/>
          <w:szCs w:val="22"/>
        </w:rPr>
      </w:pPr>
    </w:p>
    <w:p w14:paraId="62790FC1" w14:textId="77777777" w:rsidR="002800E3" w:rsidRPr="00E3110A" w:rsidRDefault="002800E3" w:rsidP="00E3110A">
      <w:pPr>
        <w:jc w:val="both"/>
        <w:rPr>
          <w:b/>
          <w:bCs/>
          <w:color w:val="009DA8"/>
          <w:sz w:val="22"/>
          <w:szCs w:val="22"/>
        </w:rPr>
      </w:pPr>
      <w:r>
        <w:rPr>
          <w:b/>
          <w:color w:val="009DA8"/>
          <w:sz w:val="22"/>
        </w:rPr>
        <w:t>Grundkapital</w:t>
      </w:r>
    </w:p>
    <w:p w14:paraId="438436D8" w14:textId="77777777" w:rsidR="00E3110A" w:rsidRDefault="00E3110A" w:rsidP="002800E3">
      <w:pPr>
        <w:rPr>
          <w:sz w:val="22"/>
          <w:szCs w:val="22"/>
        </w:rPr>
      </w:pPr>
    </w:p>
    <w:p w14:paraId="595E43BE" w14:textId="45395525" w:rsidR="002800E3" w:rsidRPr="00AD1EE2" w:rsidRDefault="002800E3" w:rsidP="002800E3">
      <w:pPr>
        <w:rPr>
          <w:sz w:val="22"/>
          <w:szCs w:val="22"/>
        </w:rPr>
      </w:pPr>
      <w:r>
        <w:rPr>
          <w:sz w:val="22"/>
        </w:rPr>
        <w:t>Die Höhe des eingezahlten gezeichneten Grundkapitals beträgt 60,- CZK.</w:t>
      </w:r>
    </w:p>
    <w:p w14:paraId="1BA1ADEE" w14:textId="77777777" w:rsidR="00E3110A" w:rsidRDefault="00E3110A" w:rsidP="00E3110A">
      <w:pPr>
        <w:jc w:val="both"/>
        <w:rPr>
          <w:b/>
          <w:bCs/>
          <w:color w:val="009DA8"/>
          <w:sz w:val="22"/>
          <w:szCs w:val="22"/>
        </w:rPr>
      </w:pPr>
    </w:p>
    <w:p w14:paraId="4F2B5977" w14:textId="77777777" w:rsidR="00E3110A" w:rsidRDefault="00E3110A" w:rsidP="00E3110A">
      <w:pPr>
        <w:jc w:val="both"/>
        <w:rPr>
          <w:b/>
          <w:bCs/>
          <w:color w:val="009DA8"/>
          <w:sz w:val="22"/>
          <w:szCs w:val="22"/>
        </w:rPr>
      </w:pPr>
    </w:p>
    <w:p w14:paraId="1059A7B1" w14:textId="249A513D" w:rsidR="002800E3" w:rsidRPr="00E3110A" w:rsidRDefault="002800E3" w:rsidP="00E3110A">
      <w:pPr>
        <w:spacing w:after="120"/>
        <w:jc w:val="both"/>
        <w:rPr>
          <w:b/>
          <w:bCs/>
          <w:color w:val="009DA8"/>
          <w:sz w:val="22"/>
          <w:szCs w:val="22"/>
        </w:rPr>
      </w:pPr>
      <w:r>
        <w:rPr>
          <w:b/>
          <w:color w:val="009DA8"/>
          <w:sz w:val="22"/>
        </w:rPr>
        <w:t>Von der Gesellschaft ausgegebene Wertpapiere</w:t>
      </w:r>
    </w:p>
    <w:p w14:paraId="158DC576" w14:textId="77777777" w:rsidR="00E3110A" w:rsidRDefault="00E3110A" w:rsidP="002800E3">
      <w:pPr>
        <w:rPr>
          <w:sz w:val="22"/>
          <w:szCs w:val="22"/>
        </w:rPr>
      </w:pPr>
    </w:p>
    <w:tbl>
      <w:tblPr>
        <w:tblStyle w:val="Mkatabulky"/>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18"/>
        <w:gridCol w:w="3402"/>
      </w:tblGrid>
      <w:tr w:rsidR="00CC7165" w:rsidRPr="00E3110A" w14:paraId="369183CD" w14:textId="77777777" w:rsidTr="00E94F13">
        <w:tc>
          <w:tcPr>
            <w:tcW w:w="3818" w:type="dxa"/>
          </w:tcPr>
          <w:p w14:paraId="10774E4B" w14:textId="77777777" w:rsidR="00E3110A" w:rsidRPr="00CC7165" w:rsidRDefault="00E3110A" w:rsidP="00CC7165">
            <w:pPr>
              <w:spacing w:line="240" w:lineRule="exact"/>
              <w:rPr>
                <w:b/>
                <w:bCs/>
                <w:sz w:val="22"/>
                <w:szCs w:val="22"/>
              </w:rPr>
            </w:pPr>
            <w:r>
              <w:rPr>
                <w:b/>
                <w:sz w:val="22"/>
              </w:rPr>
              <w:t>Art des Wertpapiers</w:t>
            </w:r>
          </w:p>
        </w:tc>
        <w:tc>
          <w:tcPr>
            <w:tcW w:w="3402" w:type="dxa"/>
          </w:tcPr>
          <w:p w14:paraId="4C0352EF" w14:textId="77777777" w:rsidR="00E3110A" w:rsidRPr="00E3110A" w:rsidRDefault="00E3110A" w:rsidP="00CC7165">
            <w:pPr>
              <w:spacing w:line="240" w:lineRule="exact"/>
              <w:rPr>
                <w:sz w:val="22"/>
                <w:szCs w:val="22"/>
              </w:rPr>
            </w:pPr>
            <w:r>
              <w:rPr>
                <w:sz w:val="22"/>
              </w:rPr>
              <w:t>Gründeraktien (Stammaktien)</w:t>
            </w:r>
          </w:p>
        </w:tc>
      </w:tr>
      <w:tr w:rsidR="00CC7165" w:rsidRPr="00E3110A" w14:paraId="447E9BE1" w14:textId="77777777" w:rsidTr="00E94F13">
        <w:tc>
          <w:tcPr>
            <w:tcW w:w="3818" w:type="dxa"/>
          </w:tcPr>
          <w:p w14:paraId="077A154F" w14:textId="77777777" w:rsidR="00E3110A" w:rsidRPr="00CC7165" w:rsidRDefault="00E3110A" w:rsidP="00CC7165">
            <w:pPr>
              <w:spacing w:line="240" w:lineRule="exact"/>
              <w:rPr>
                <w:b/>
                <w:bCs/>
                <w:sz w:val="22"/>
                <w:szCs w:val="22"/>
              </w:rPr>
            </w:pPr>
            <w:r>
              <w:rPr>
                <w:b/>
                <w:sz w:val="22"/>
              </w:rPr>
              <w:t>Form</w:t>
            </w:r>
          </w:p>
        </w:tc>
        <w:tc>
          <w:tcPr>
            <w:tcW w:w="3402" w:type="dxa"/>
          </w:tcPr>
          <w:p w14:paraId="71903643" w14:textId="77777777" w:rsidR="00E3110A" w:rsidRPr="00E3110A" w:rsidRDefault="00E3110A" w:rsidP="00CC7165">
            <w:pPr>
              <w:spacing w:line="240" w:lineRule="exact"/>
              <w:rPr>
                <w:sz w:val="22"/>
                <w:szCs w:val="22"/>
              </w:rPr>
            </w:pPr>
            <w:r>
              <w:rPr>
                <w:sz w:val="22"/>
              </w:rPr>
              <w:t>Auf den Namen lautende Aktien</w:t>
            </w:r>
          </w:p>
        </w:tc>
      </w:tr>
      <w:tr w:rsidR="00CC7165" w:rsidRPr="00E3110A" w14:paraId="3E0FFFD4" w14:textId="77777777" w:rsidTr="00E94F13">
        <w:tc>
          <w:tcPr>
            <w:tcW w:w="3818" w:type="dxa"/>
          </w:tcPr>
          <w:p w14:paraId="482EE42C" w14:textId="77777777" w:rsidR="00E3110A" w:rsidRPr="00CC7165" w:rsidRDefault="00E3110A" w:rsidP="00CC7165">
            <w:pPr>
              <w:spacing w:line="240" w:lineRule="exact"/>
              <w:rPr>
                <w:b/>
                <w:bCs/>
                <w:sz w:val="22"/>
                <w:szCs w:val="22"/>
              </w:rPr>
            </w:pPr>
            <w:r>
              <w:rPr>
                <w:b/>
                <w:sz w:val="22"/>
              </w:rPr>
              <w:t>Gestalt</w:t>
            </w:r>
          </w:p>
        </w:tc>
        <w:tc>
          <w:tcPr>
            <w:tcW w:w="3402" w:type="dxa"/>
          </w:tcPr>
          <w:p w14:paraId="49F4593B" w14:textId="77777777" w:rsidR="00E3110A" w:rsidRPr="00E3110A" w:rsidRDefault="00E3110A" w:rsidP="00CC7165">
            <w:pPr>
              <w:spacing w:line="240" w:lineRule="exact"/>
              <w:rPr>
                <w:sz w:val="22"/>
                <w:szCs w:val="22"/>
              </w:rPr>
            </w:pPr>
            <w:r>
              <w:rPr>
                <w:sz w:val="22"/>
              </w:rPr>
              <w:t>Papierform</w:t>
            </w:r>
          </w:p>
        </w:tc>
      </w:tr>
      <w:tr w:rsidR="00CC7165" w:rsidRPr="00E3110A" w14:paraId="69731987" w14:textId="77777777" w:rsidTr="00E94F13">
        <w:trPr>
          <w:trHeight w:val="526"/>
        </w:trPr>
        <w:tc>
          <w:tcPr>
            <w:tcW w:w="3818" w:type="dxa"/>
          </w:tcPr>
          <w:p w14:paraId="06D6483A" w14:textId="4B5686CA" w:rsidR="00CC7165" w:rsidRPr="00CC7165" w:rsidRDefault="00CC7165" w:rsidP="00CC7165">
            <w:pPr>
              <w:spacing w:line="240" w:lineRule="exact"/>
              <w:rPr>
                <w:b/>
                <w:bCs/>
                <w:sz w:val="22"/>
                <w:szCs w:val="22"/>
              </w:rPr>
            </w:pPr>
            <w:r>
              <w:rPr>
                <w:b/>
                <w:sz w:val="22"/>
              </w:rPr>
              <w:t>Anzahl der ausgegebenen Aktien zum 31.12.2023</w:t>
            </w:r>
          </w:p>
        </w:tc>
        <w:tc>
          <w:tcPr>
            <w:tcW w:w="3402" w:type="dxa"/>
            <w:vAlign w:val="center"/>
          </w:tcPr>
          <w:p w14:paraId="659D953C" w14:textId="3302EE65" w:rsidR="00CC7165" w:rsidRPr="00E3110A" w:rsidRDefault="00CC7165" w:rsidP="00CC7165">
            <w:pPr>
              <w:spacing w:line="240" w:lineRule="exact"/>
              <w:rPr>
                <w:sz w:val="22"/>
                <w:szCs w:val="22"/>
              </w:rPr>
            </w:pPr>
            <w:r>
              <w:rPr>
                <w:sz w:val="22"/>
              </w:rPr>
              <w:t>60</w:t>
            </w:r>
          </w:p>
        </w:tc>
      </w:tr>
      <w:tr w:rsidR="00CC7165" w:rsidRPr="00E3110A" w14:paraId="035C03B7" w14:textId="77777777" w:rsidTr="00E94F13">
        <w:tc>
          <w:tcPr>
            <w:tcW w:w="3818" w:type="dxa"/>
          </w:tcPr>
          <w:p w14:paraId="04EC33C4" w14:textId="77777777" w:rsidR="00E3110A" w:rsidRPr="00CC7165" w:rsidRDefault="00E3110A" w:rsidP="00CC7165">
            <w:pPr>
              <w:spacing w:line="240" w:lineRule="exact"/>
              <w:rPr>
                <w:b/>
                <w:bCs/>
                <w:sz w:val="22"/>
                <w:szCs w:val="22"/>
              </w:rPr>
            </w:pPr>
            <w:r>
              <w:rPr>
                <w:b/>
                <w:sz w:val="22"/>
              </w:rPr>
              <w:t>Anteil am gezeichneten Grundkapital</w:t>
            </w:r>
          </w:p>
        </w:tc>
        <w:tc>
          <w:tcPr>
            <w:tcW w:w="3402" w:type="dxa"/>
            <w:vAlign w:val="center"/>
          </w:tcPr>
          <w:p w14:paraId="748A93FB" w14:textId="77777777" w:rsidR="00E3110A" w:rsidRPr="00E3110A" w:rsidRDefault="00E3110A" w:rsidP="00CC7165">
            <w:pPr>
              <w:spacing w:line="240" w:lineRule="exact"/>
              <w:rPr>
                <w:sz w:val="22"/>
                <w:szCs w:val="22"/>
              </w:rPr>
            </w:pPr>
            <w:r>
              <w:rPr>
                <w:sz w:val="22"/>
              </w:rPr>
              <w:t>100 %</w:t>
            </w:r>
          </w:p>
        </w:tc>
      </w:tr>
    </w:tbl>
    <w:p w14:paraId="32BC08F8" w14:textId="0D3EDD5F" w:rsidR="002800E3" w:rsidRPr="00CC7165" w:rsidRDefault="002800E3" w:rsidP="002800E3">
      <w:pPr>
        <w:rPr>
          <w:b/>
          <w:bCs/>
          <w:color w:val="009DA8"/>
          <w:sz w:val="22"/>
          <w:szCs w:val="22"/>
        </w:rPr>
      </w:pPr>
      <w:r>
        <w:rPr>
          <w:b/>
          <w:color w:val="009DA8"/>
          <w:sz w:val="22"/>
        </w:rPr>
        <w:lastRenderedPageBreak/>
        <w:t>Beschränkung der Übertragbarkeit</w:t>
      </w:r>
    </w:p>
    <w:p w14:paraId="6E0051D6" w14:textId="77777777" w:rsidR="00CC7165" w:rsidRDefault="00CC7165" w:rsidP="002800E3">
      <w:pPr>
        <w:rPr>
          <w:sz w:val="22"/>
          <w:szCs w:val="22"/>
        </w:rPr>
      </w:pPr>
    </w:p>
    <w:p w14:paraId="72B0DFA4" w14:textId="59996D3B" w:rsidR="002800E3" w:rsidRPr="00AD1EE2" w:rsidRDefault="002800E3" w:rsidP="00CC7165">
      <w:pPr>
        <w:jc w:val="both"/>
        <w:rPr>
          <w:sz w:val="22"/>
          <w:szCs w:val="22"/>
        </w:rPr>
      </w:pPr>
      <w:r>
        <w:rPr>
          <w:sz w:val="22"/>
        </w:rPr>
        <w:t xml:space="preserve">Die Übertragbarkeit der Aktien an Dritte unterliegt der Zustimmung des gesetzlich vorgesehenen Leitungsorgans der Gesellschaft, die unter der Bedingung erteilt wird, dass der erwerbende Anleger ein qualifizierter Anleger im Sinne der Bestimmungen des § 272 </w:t>
      </w:r>
      <w:proofErr w:type="spellStart"/>
      <w:r>
        <w:rPr>
          <w:sz w:val="22"/>
        </w:rPr>
        <w:t>InvG</w:t>
      </w:r>
      <w:proofErr w:type="spellEnd"/>
      <w:r>
        <w:rPr>
          <w:sz w:val="22"/>
        </w:rPr>
        <w:t xml:space="preserve"> ist.</w:t>
      </w:r>
    </w:p>
    <w:p w14:paraId="34E652DE" w14:textId="77777777" w:rsidR="00CC7165" w:rsidRDefault="00CC7165" w:rsidP="00CC7165">
      <w:pPr>
        <w:jc w:val="both"/>
        <w:rPr>
          <w:sz w:val="22"/>
          <w:szCs w:val="22"/>
        </w:rPr>
      </w:pPr>
    </w:p>
    <w:p w14:paraId="13EE7E02" w14:textId="77777777" w:rsidR="00CC7165" w:rsidRDefault="00CC7165" w:rsidP="00CC7165">
      <w:pPr>
        <w:jc w:val="both"/>
        <w:rPr>
          <w:sz w:val="22"/>
          <w:szCs w:val="22"/>
        </w:rPr>
      </w:pPr>
    </w:p>
    <w:p w14:paraId="068096B6" w14:textId="0305E352" w:rsidR="002800E3" w:rsidRPr="00CC7165" w:rsidRDefault="002800E3" w:rsidP="00CC7165">
      <w:pPr>
        <w:jc w:val="both"/>
        <w:rPr>
          <w:b/>
          <w:bCs/>
          <w:color w:val="009DA8"/>
          <w:sz w:val="22"/>
          <w:szCs w:val="22"/>
        </w:rPr>
      </w:pPr>
      <w:r>
        <w:rPr>
          <w:b/>
          <w:color w:val="009DA8"/>
          <w:sz w:val="22"/>
        </w:rPr>
        <w:t>Gesetzlich vorgesehene Leitungsorgane der Gesellschaft</w:t>
      </w:r>
    </w:p>
    <w:p w14:paraId="1A61E70E" w14:textId="77777777" w:rsidR="00CC7165" w:rsidRDefault="00CC7165" w:rsidP="00CC7165">
      <w:pPr>
        <w:jc w:val="both"/>
        <w:rPr>
          <w:sz w:val="22"/>
          <w:szCs w:val="22"/>
        </w:rPr>
      </w:pPr>
    </w:p>
    <w:p w14:paraId="7D66F09D" w14:textId="77777777" w:rsidR="00CC7165" w:rsidRDefault="00CC7165" w:rsidP="00CC7165">
      <w:pPr>
        <w:jc w:val="both"/>
        <w:rPr>
          <w:sz w:val="22"/>
          <w:szCs w:val="22"/>
        </w:rPr>
      </w:pPr>
    </w:p>
    <w:p w14:paraId="0E22689C" w14:textId="38E9D396" w:rsidR="002800E3" w:rsidRPr="00CC7165" w:rsidRDefault="002800E3" w:rsidP="00CC7165">
      <w:pPr>
        <w:jc w:val="both"/>
        <w:rPr>
          <w:b/>
          <w:bCs/>
          <w:sz w:val="22"/>
          <w:szCs w:val="22"/>
        </w:rPr>
      </w:pPr>
      <w:r>
        <w:rPr>
          <w:b/>
          <w:sz w:val="22"/>
        </w:rPr>
        <w:t>Einziges Mitglied des Verwaltungsrats</w:t>
      </w:r>
    </w:p>
    <w:p w14:paraId="5913EDC1" w14:textId="77777777" w:rsidR="002800E3" w:rsidRPr="00AD1EE2" w:rsidRDefault="002800E3" w:rsidP="00CC7165">
      <w:pPr>
        <w:jc w:val="both"/>
        <w:rPr>
          <w:sz w:val="22"/>
          <w:szCs w:val="22"/>
        </w:rPr>
      </w:pPr>
      <w:r>
        <w:rPr>
          <w:sz w:val="22"/>
        </w:rPr>
        <w:t xml:space="preserve">CODYA </w:t>
      </w:r>
      <w:proofErr w:type="spellStart"/>
      <w:r>
        <w:rPr>
          <w:sz w:val="22"/>
        </w:rPr>
        <w:t>investiční</w:t>
      </w:r>
      <w:proofErr w:type="spellEnd"/>
      <w:r>
        <w:rPr>
          <w:sz w:val="22"/>
        </w:rPr>
        <w:t xml:space="preserve"> </w:t>
      </w:r>
      <w:proofErr w:type="spellStart"/>
      <w:r>
        <w:rPr>
          <w:sz w:val="22"/>
        </w:rPr>
        <w:t>společnost</w:t>
      </w:r>
      <w:proofErr w:type="spellEnd"/>
      <w:r>
        <w:rPr>
          <w:sz w:val="22"/>
        </w:rPr>
        <w:t xml:space="preserve">, </w:t>
      </w:r>
      <w:proofErr w:type="spellStart"/>
      <w:r>
        <w:rPr>
          <w:sz w:val="22"/>
        </w:rPr>
        <w:t>a.s.</w:t>
      </w:r>
      <w:proofErr w:type="spellEnd"/>
      <w:r>
        <w:rPr>
          <w:sz w:val="22"/>
        </w:rPr>
        <w:t>,</w:t>
      </w:r>
    </w:p>
    <w:p w14:paraId="7F7E692A" w14:textId="77777777" w:rsidR="00CC7165" w:rsidRDefault="002800E3" w:rsidP="00CC7165">
      <w:pPr>
        <w:jc w:val="both"/>
        <w:rPr>
          <w:sz w:val="22"/>
          <w:szCs w:val="22"/>
        </w:rPr>
      </w:pPr>
      <w:r>
        <w:rPr>
          <w:sz w:val="22"/>
        </w:rPr>
        <w:t>Ident.-Nr.: 068 76 897,</w:t>
      </w:r>
    </w:p>
    <w:p w14:paraId="6C94F115" w14:textId="097CC982" w:rsidR="002800E3" w:rsidRPr="00AD1EE2" w:rsidRDefault="002800E3" w:rsidP="00CC7165">
      <w:pPr>
        <w:jc w:val="both"/>
        <w:rPr>
          <w:sz w:val="22"/>
          <w:szCs w:val="22"/>
        </w:rPr>
      </w:pPr>
      <w:r>
        <w:rPr>
          <w:sz w:val="22"/>
        </w:rPr>
        <w:t xml:space="preserve">Sitz: </w:t>
      </w:r>
      <w:proofErr w:type="spellStart"/>
      <w:r>
        <w:rPr>
          <w:sz w:val="22"/>
        </w:rPr>
        <w:t>Poňava</w:t>
      </w:r>
      <w:proofErr w:type="spellEnd"/>
      <w:r>
        <w:rPr>
          <w:sz w:val="22"/>
        </w:rPr>
        <w:t xml:space="preserve"> 135/50, 664 31 </w:t>
      </w:r>
      <w:proofErr w:type="spellStart"/>
      <w:r>
        <w:rPr>
          <w:sz w:val="22"/>
        </w:rPr>
        <w:t>Lelekovice</w:t>
      </w:r>
      <w:proofErr w:type="spellEnd"/>
      <w:r>
        <w:rPr>
          <w:sz w:val="22"/>
        </w:rPr>
        <w:t>, eingetragen im Handelsregister des Amtsgerichts in Brno, Aktenzeichen B 7923</w:t>
      </w:r>
    </w:p>
    <w:p w14:paraId="28F1A904" w14:textId="134B349B" w:rsidR="002800E3" w:rsidRPr="00AD1EE2" w:rsidRDefault="00CC7165" w:rsidP="003E2340">
      <w:pPr>
        <w:tabs>
          <w:tab w:val="left" w:pos="3686"/>
        </w:tabs>
        <w:jc w:val="both"/>
        <w:rPr>
          <w:sz w:val="22"/>
          <w:szCs w:val="22"/>
        </w:rPr>
      </w:pPr>
      <w:r>
        <w:rPr>
          <w:sz w:val="22"/>
        </w:rPr>
        <w:tab/>
        <w:t>Datum der Entstehung der Funktion: 1. November 2019</w:t>
      </w:r>
    </w:p>
    <w:p w14:paraId="05AB9857" w14:textId="77777777" w:rsidR="00B026CD" w:rsidRDefault="00B026CD" w:rsidP="00CC7165">
      <w:pPr>
        <w:jc w:val="both"/>
        <w:rPr>
          <w:sz w:val="22"/>
          <w:szCs w:val="22"/>
        </w:rPr>
      </w:pPr>
    </w:p>
    <w:p w14:paraId="4EA98C7A" w14:textId="77777777" w:rsidR="00B026CD" w:rsidRDefault="00B026CD" w:rsidP="00CC7165">
      <w:pPr>
        <w:jc w:val="both"/>
        <w:rPr>
          <w:sz w:val="22"/>
          <w:szCs w:val="22"/>
        </w:rPr>
      </w:pPr>
    </w:p>
    <w:p w14:paraId="59EDD7FE" w14:textId="6F770BCE" w:rsidR="002800E3" w:rsidRPr="003E2340" w:rsidRDefault="002800E3" w:rsidP="00446BC4">
      <w:pPr>
        <w:tabs>
          <w:tab w:val="left" w:pos="3119"/>
          <w:tab w:val="left" w:pos="4962"/>
        </w:tabs>
        <w:rPr>
          <w:sz w:val="22"/>
          <w:szCs w:val="22"/>
        </w:rPr>
      </w:pPr>
      <w:r w:rsidRPr="003E2340">
        <w:rPr>
          <w:sz w:val="22"/>
        </w:rPr>
        <w:t>Beauftragter Bevollmächtigter:</w:t>
      </w:r>
      <w:r w:rsidRPr="003E2340">
        <w:rPr>
          <w:sz w:val="22"/>
        </w:rPr>
        <w:tab/>
        <w:t xml:space="preserve">Ing. Robert </w:t>
      </w:r>
      <w:proofErr w:type="spellStart"/>
      <w:r w:rsidRPr="003E2340">
        <w:rPr>
          <w:sz w:val="22"/>
        </w:rPr>
        <w:t>Hlava</w:t>
      </w:r>
      <w:proofErr w:type="spellEnd"/>
      <w:r w:rsidR="003E2340" w:rsidRPr="003E2340">
        <w:rPr>
          <w:sz w:val="22"/>
        </w:rPr>
        <w:tab/>
      </w:r>
      <w:r w:rsidRPr="003E2340">
        <w:rPr>
          <w:sz w:val="22"/>
        </w:rPr>
        <w:t xml:space="preserve">(Datum der Entstehung der Funktion </w:t>
      </w:r>
      <w:r w:rsidR="003E2340">
        <w:rPr>
          <w:sz w:val="22"/>
        </w:rPr>
        <w:tab/>
      </w:r>
      <w:r w:rsidR="00F33B67">
        <w:rPr>
          <w:sz w:val="22"/>
        </w:rPr>
        <w:tab/>
      </w:r>
      <w:r w:rsidRPr="003E2340">
        <w:rPr>
          <w:sz w:val="22"/>
        </w:rPr>
        <w:t>18.</w:t>
      </w:r>
      <w:r w:rsidR="003E2340" w:rsidRPr="003E2340">
        <w:rPr>
          <w:sz w:val="22"/>
        </w:rPr>
        <w:t> </w:t>
      </w:r>
      <w:r w:rsidRPr="003E2340">
        <w:rPr>
          <w:sz w:val="22"/>
        </w:rPr>
        <w:t>Januar 2021)</w:t>
      </w:r>
    </w:p>
    <w:p w14:paraId="333790D3" w14:textId="450CC982" w:rsidR="00B026CD" w:rsidRPr="003E2340" w:rsidRDefault="00B026CD" w:rsidP="00446BC4">
      <w:pPr>
        <w:tabs>
          <w:tab w:val="left" w:pos="3119"/>
          <w:tab w:val="left" w:pos="4962"/>
        </w:tabs>
        <w:rPr>
          <w:sz w:val="22"/>
          <w:szCs w:val="22"/>
        </w:rPr>
      </w:pPr>
      <w:r w:rsidRPr="003E2340">
        <w:rPr>
          <w:sz w:val="22"/>
        </w:rPr>
        <w:tab/>
      </w:r>
      <w:proofErr w:type="spellStart"/>
      <w:r w:rsidRPr="003E2340">
        <w:rPr>
          <w:sz w:val="22"/>
        </w:rPr>
        <w:t>Bc</w:t>
      </w:r>
      <w:proofErr w:type="spellEnd"/>
      <w:r w:rsidRPr="003E2340">
        <w:rPr>
          <w:sz w:val="22"/>
        </w:rPr>
        <w:t xml:space="preserve">. Martin </w:t>
      </w:r>
      <w:proofErr w:type="spellStart"/>
      <w:r w:rsidRPr="003E2340">
        <w:rPr>
          <w:sz w:val="22"/>
        </w:rPr>
        <w:t>Pšaidl</w:t>
      </w:r>
      <w:proofErr w:type="spellEnd"/>
      <w:r w:rsidR="003E2340" w:rsidRPr="003E2340">
        <w:rPr>
          <w:sz w:val="22"/>
        </w:rPr>
        <w:tab/>
      </w:r>
      <w:r w:rsidRPr="003E2340">
        <w:rPr>
          <w:sz w:val="22"/>
        </w:rPr>
        <w:t xml:space="preserve">(Datum der Entstehung der Funktion </w:t>
      </w:r>
      <w:r w:rsidR="00F33B67">
        <w:rPr>
          <w:sz w:val="22"/>
        </w:rPr>
        <w:tab/>
      </w:r>
      <w:r w:rsidR="00F33B67">
        <w:rPr>
          <w:sz w:val="22"/>
        </w:rPr>
        <w:tab/>
      </w:r>
      <w:r w:rsidRPr="003E2340">
        <w:rPr>
          <w:sz w:val="22"/>
        </w:rPr>
        <w:t>30.</w:t>
      </w:r>
      <w:r w:rsidR="003E2340" w:rsidRPr="003E2340">
        <w:rPr>
          <w:sz w:val="22"/>
        </w:rPr>
        <w:t> </w:t>
      </w:r>
      <w:r w:rsidRPr="003E2340">
        <w:rPr>
          <w:sz w:val="22"/>
        </w:rPr>
        <w:t>August 2022)</w:t>
      </w:r>
    </w:p>
    <w:p w14:paraId="14840770" w14:textId="1982FEC8" w:rsidR="002800E3" w:rsidRPr="003E2340" w:rsidRDefault="00B026CD" w:rsidP="00446BC4">
      <w:pPr>
        <w:tabs>
          <w:tab w:val="left" w:pos="3119"/>
          <w:tab w:val="left" w:pos="5670"/>
        </w:tabs>
        <w:rPr>
          <w:spacing w:val="-4"/>
          <w:sz w:val="22"/>
          <w:szCs w:val="22"/>
        </w:rPr>
      </w:pPr>
      <w:r w:rsidRPr="003E2340">
        <w:rPr>
          <w:sz w:val="22"/>
        </w:rPr>
        <w:tab/>
        <w:t xml:space="preserve">Ing. Michal </w:t>
      </w:r>
      <w:proofErr w:type="spellStart"/>
      <w:r w:rsidRPr="003E2340">
        <w:rPr>
          <w:sz w:val="22"/>
        </w:rPr>
        <w:t>Sedlák</w:t>
      </w:r>
      <w:proofErr w:type="spellEnd"/>
      <w:r w:rsidRPr="003E2340">
        <w:rPr>
          <w:sz w:val="22"/>
        </w:rPr>
        <w:t>, MBA</w:t>
      </w:r>
      <w:r w:rsidR="00F33B67">
        <w:rPr>
          <w:sz w:val="22"/>
        </w:rPr>
        <w:tab/>
      </w:r>
      <w:r w:rsidRPr="003E2340">
        <w:rPr>
          <w:sz w:val="22"/>
        </w:rPr>
        <w:t>(Datum der Entstehung der</w:t>
      </w:r>
      <w:r w:rsidR="00446BC4">
        <w:rPr>
          <w:sz w:val="22"/>
        </w:rPr>
        <w:tab/>
      </w:r>
      <w:r w:rsidR="00F33B67">
        <w:rPr>
          <w:sz w:val="22"/>
        </w:rPr>
        <w:tab/>
      </w:r>
      <w:r w:rsidR="00F33B67">
        <w:rPr>
          <w:sz w:val="22"/>
        </w:rPr>
        <w:tab/>
      </w:r>
      <w:r w:rsidRPr="003E2340">
        <w:rPr>
          <w:sz w:val="22"/>
        </w:rPr>
        <w:t>Funktion 30. August 2022</w:t>
      </w:r>
      <w:r w:rsidRPr="003E2340">
        <w:rPr>
          <w:spacing w:val="-4"/>
          <w:sz w:val="22"/>
        </w:rPr>
        <w:t>)</w:t>
      </w:r>
    </w:p>
    <w:p w14:paraId="328968D4" w14:textId="77777777" w:rsidR="00B026CD" w:rsidRDefault="00B026CD" w:rsidP="00CC7165">
      <w:pPr>
        <w:jc w:val="both"/>
        <w:rPr>
          <w:sz w:val="22"/>
          <w:szCs w:val="22"/>
        </w:rPr>
      </w:pPr>
    </w:p>
    <w:p w14:paraId="4DF27A3A" w14:textId="77777777" w:rsidR="00B026CD" w:rsidRDefault="00B026CD" w:rsidP="00CC7165">
      <w:pPr>
        <w:jc w:val="both"/>
        <w:rPr>
          <w:sz w:val="22"/>
          <w:szCs w:val="22"/>
        </w:rPr>
      </w:pPr>
    </w:p>
    <w:p w14:paraId="281E1733" w14:textId="5C874F1A" w:rsidR="002800E3" w:rsidRPr="00B026CD" w:rsidRDefault="002800E3" w:rsidP="00CC7165">
      <w:pPr>
        <w:jc w:val="both"/>
        <w:rPr>
          <w:b/>
          <w:bCs/>
          <w:sz w:val="22"/>
          <w:szCs w:val="22"/>
        </w:rPr>
      </w:pPr>
      <w:r>
        <w:rPr>
          <w:b/>
          <w:sz w:val="22"/>
        </w:rPr>
        <w:t>Beauftragung mit der Ausübung bestimmter Tätigkeiten</w:t>
      </w:r>
    </w:p>
    <w:p w14:paraId="622F0599" w14:textId="77777777" w:rsidR="00B026CD" w:rsidRDefault="00B026CD" w:rsidP="00CC7165">
      <w:pPr>
        <w:jc w:val="both"/>
        <w:rPr>
          <w:sz w:val="22"/>
          <w:szCs w:val="22"/>
        </w:rPr>
      </w:pPr>
    </w:p>
    <w:p w14:paraId="256CCC42" w14:textId="2CCA62E8" w:rsidR="002800E3" w:rsidRPr="00AD1EE2" w:rsidRDefault="002800E3" w:rsidP="00CC7165">
      <w:pPr>
        <w:jc w:val="both"/>
        <w:rPr>
          <w:sz w:val="22"/>
          <w:szCs w:val="22"/>
        </w:rPr>
      </w:pPr>
      <w:r>
        <w:rPr>
          <w:sz w:val="22"/>
        </w:rPr>
        <w:t xml:space="preserve">Das gesetzlich vorgesehene Gesellschaftsorgan hat mit der internen Wirtschaftsprüfung die Gesellschaft ASIG CONSULT, </w:t>
      </w:r>
      <w:proofErr w:type="spellStart"/>
      <w:r>
        <w:rPr>
          <w:sz w:val="22"/>
        </w:rPr>
        <w:t>s.r.o</w:t>
      </w:r>
      <w:proofErr w:type="spellEnd"/>
      <w:r>
        <w:rPr>
          <w:sz w:val="22"/>
        </w:rPr>
        <w:t xml:space="preserve">., </w:t>
      </w:r>
      <w:proofErr w:type="gramStart"/>
      <w:r>
        <w:rPr>
          <w:sz w:val="22"/>
        </w:rPr>
        <w:t>Ident</w:t>
      </w:r>
      <w:proofErr w:type="gramEnd"/>
      <w:r>
        <w:rPr>
          <w:sz w:val="22"/>
        </w:rPr>
        <w:t xml:space="preserve">.-Nr.: 05800668, mit Sitz in </w:t>
      </w:r>
      <w:proofErr w:type="spellStart"/>
      <w:r>
        <w:rPr>
          <w:sz w:val="22"/>
        </w:rPr>
        <w:t>Varnsdorfská</w:t>
      </w:r>
      <w:proofErr w:type="spellEnd"/>
      <w:r>
        <w:rPr>
          <w:sz w:val="22"/>
        </w:rPr>
        <w:t xml:space="preserve"> 330/19, 190 00 Praha 9, eingetragen im Handelsregister des Stadtgerichts in Prag, unter dem Aktenzeichen C 270999, beauftragt.</w:t>
      </w:r>
    </w:p>
    <w:p w14:paraId="53782868" w14:textId="77777777" w:rsidR="00B026CD" w:rsidRDefault="00B026CD" w:rsidP="00CC7165">
      <w:pPr>
        <w:jc w:val="both"/>
        <w:rPr>
          <w:sz w:val="22"/>
          <w:szCs w:val="22"/>
        </w:rPr>
      </w:pPr>
    </w:p>
    <w:p w14:paraId="59E4B373" w14:textId="40F6B485" w:rsidR="002800E3" w:rsidRPr="00AD1EE2" w:rsidRDefault="002800E3" w:rsidP="00CC7165">
      <w:pPr>
        <w:jc w:val="both"/>
        <w:rPr>
          <w:sz w:val="22"/>
          <w:szCs w:val="22"/>
        </w:rPr>
      </w:pPr>
      <w:r>
        <w:rPr>
          <w:sz w:val="22"/>
        </w:rPr>
        <w:t>Investitionen in die Gesellschaft bzw. in die Teilfonds der Gesellschaft werden auch über zu dieser Tätigkeit berechtigten Personen angeboten.</w:t>
      </w:r>
    </w:p>
    <w:p w14:paraId="47E011BF" w14:textId="77777777" w:rsidR="00B026CD" w:rsidRDefault="00B026CD" w:rsidP="00CC7165">
      <w:pPr>
        <w:jc w:val="both"/>
        <w:rPr>
          <w:sz w:val="22"/>
          <w:szCs w:val="22"/>
        </w:rPr>
      </w:pPr>
    </w:p>
    <w:p w14:paraId="35C53AD0" w14:textId="73FC0B6C" w:rsidR="002800E3" w:rsidRDefault="002800E3" w:rsidP="00CC7165">
      <w:pPr>
        <w:jc w:val="both"/>
        <w:rPr>
          <w:sz w:val="22"/>
          <w:szCs w:val="22"/>
        </w:rPr>
      </w:pPr>
      <w:r>
        <w:rPr>
          <w:sz w:val="22"/>
        </w:rPr>
        <w:t xml:space="preserve">Ferner wurde ein Vertrag über die Beauftragung eines anderen mit der Ausübung einer einzelnen Tätigkeit, zu der auch die Verwaltung des Investmentfonds gehört, mit Advisory 4 Funds </w:t>
      </w:r>
      <w:proofErr w:type="spellStart"/>
      <w:r>
        <w:rPr>
          <w:sz w:val="22"/>
        </w:rPr>
        <w:t>s.r.o</w:t>
      </w:r>
      <w:proofErr w:type="spellEnd"/>
      <w:r>
        <w:rPr>
          <w:sz w:val="22"/>
        </w:rPr>
        <w:t xml:space="preserve">., Ident.-Nr.: 24220477, mit Sitz in </w:t>
      </w:r>
      <w:proofErr w:type="spellStart"/>
      <w:r>
        <w:rPr>
          <w:sz w:val="22"/>
        </w:rPr>
        <w:t>Jungmannova</w:t>
      </w:r>
      <w:proofErr w:type="spellEnd"/>
      <w:r>
        <w:rPr>
          <w:sz w:val="22"/>
        </w:rPr>
        <w:t xml:space="preserve"> 750/34, </w:t>
      </w:r>
      <w:proofErr w:type="spellStart"/>
      <w:r>
        <w:rPr>
          <w:sz w:val="22"/>
        </w:rPr>
        <w:t>Nové</w:t>
      </w:r>
      <w:proofErr w:type="spellEnd"/>
      <w:r>
        <w:rPr>
          <w:sz w:val="22"/>
        </w:rPr>
        <w:t xml:space="preserve"> </w:t>
      </w:r>
      <w:proofErr w:type="spellStart"/>
      <w:r>
        <w:rPr>
          <w:sz w:val="22"/>
        </w:rPr>
        <w:t>Město</w:t>
      </w:r>
      <w:proofErr w:type="spellEnd"/>
      <w:r>
        <w:rPr>
          <w:sz w:val="22"/>
        </w:rPr>
        <w:t xml:space="preserve">, 110 00 Praha 1, eingetragen im Handelsregister des Stadtgerichts in Prag, unter dem Aktenzeichen C 189899 und mit der Z/C/H Legal </w:t>
      </w:r>
      <w:proofErr w:type="spellStart"/>
      <w:r>
        <w:rPr>
          <w:sz w:val="22"/>
        </w:rPr>
        <w:t>v.o.s</w:t>
      </w:r>
      <w:proofErr w:type="spellEnd"/>
      <w:r>
        <w:rPr>
          <w:sz w:val="22"/>
        </w:rPr>
        <w:t xml:space="preserve">., Anwaltskanzlei, Ident.-Nr.: 17877130, mit Sitz in </w:t>
      </w:r>
      <w:proofErr w:type="spellStart"/>
      <w:r>
        <w:rPr>
          <w:sz w:val="22"/>
        </w:rPr>
        <w:t>Národní</w:t>
      </w:r>
      <w:proofErr w:type="spellEnd"/>
      <w:r>
        <w:rPr>
          <w:sz w:val="22"/>
        </w:rPr>
        <w:t xml:space="preserve"> 973/41, </w:t>
      </w:r>
      <w:proofErr w:type="spellStart"/>
      <w:r>
        <w:rPr>
          <w:sz w:val="22"/>
        </w:rPr>
        <w:t>Staré</w:t>
      </w:r>
      <w:proofErr w:type="spellEnd"/>
      <w:r>
        <w:rPr>
          <w:sz w:val="22"/>
        </w:rPr>
        <w:t xml:space="preserve"> </w:t>
      </w:r>
      <w:proofErr w:type="spellStart"/>
      <w:r>
        <w:rPr>
          <w:sz w:val="22"/>
        </w:rPr>
        <w:t>Město</w:t>
      </w:r>
      <w:proofErr w:type="spellEnd"/>
      <w:r>
        <w:rPr>
          <w:sz w:val="22"/>
        </w:rPr>
        <w:t xml:space="preserve">, 110 00 Praha 1, eingetragen im Handelsregister des Stadtgerichts in Prag unter dem Aktenzeichen A 80113 (entstanden durch Spaltung, bei der ein Teil des Vermögens des übertragenden Rechtsträgers Z/C/H Legal </w:t>
      </w:r>
      <w:proofErr w:type="spellStart"/>
      <w:r>
        <w:rPr>
          <w:sz w:val="22"/>
        </w:rPr>
        <w:t>v.o.s</w:t>
      </w:r>
      <w:proofErr w:type="spellEnd"/>
      <w:r>
        <w:rPr>
          <w:sz w:val="22"/>
        </w:rPr>
        <w:t xml:space="preserve">., Anwaltskanzlei, Ident.-Nr.: 272 22 861, mit Sitz in </w:t>
      </w:r>
      <w:proofErr w:type="spellStart"/>
      <w:r>
        <w:rPr>
          <w:sz w:val="22"/>
        </w:rPr>
        <w:t>Národní</w:t>
      </w:r>
      <w:proofErr w:type="spellEnd"/>
      <w:r>
        <w:rPr>
          <w:sz w:val="22"/>
        </w:rPr>
        <w:t xml:space="preserve"> 973/41, </w:t>
      </w:r>
      <w:proofErr w:type="spellStart"/>
      <w:r>
        <w:rPr>
          <w:sz w:val="22"/>
        </w:rPr>
        <w:t>Staré</w:t>
      </w:r>
      <w:proofErr w:type="spellEnd"/>
      <w:r>
        <w:rPr>
          <w:sz w:val="22"/>
        </w:rPr>
        <w:t xml:space="preserve"> </w:t>
      </w:r>
      <w:proofErr w:type="spellStart"/>
      <w:r>
        <w:rPr>
          <w:sz w:val="22"/>
        </w:rPr>
        <w:t>Město</w:t>
      </w:r>
      <w:proofErr w:type="spellEnd"/>
      <w:r>
        <w:rPr>
          <w:sz w:val="22"/>
        </w:rPr>
        <w:t>, 110 00 Praha 1, auf sie übertragen wurde) abgeschlossen.</w:t>
      </w:r>
    </w:p>
    <w:p w14:paraId="1AF63FD8" w14:textId="77777777" w:rsidR="00B026CD" w:rsidRPr="00AD1EE2" w:rsidRDefault="00B026CD" w:rsidP="00CC7165">
      <w:pPr>
        <w:jc w:val="both"/>
        <w:rPr>
          <w:sz w:val="22"/>
          <w:szCs w:val="22"/>
        </w:rPr>
      </w:pPr>
    </w:p>
    <w:p w14:paraId="44EFB7E4" w14:textId="77777777" w:rsidR="00B026CD" w:rsidRDefault="00B026CD" w:rsidP="00CC7165">
      <w:pPr>
        <w:jc w:val="both"/>
        <w:rPr>
          <w:sz w:val="22"/>
          <w:szCs w:val="22"/>
        </w:rPr>
        <w:sectPr w:rsidR="00B026CD" w:rsidSect="00CC7165">
          <w:headerReference w:type="default" r:id="rId20"/>
          <w:footerReference w:type="default" r:id="rId21"/>
          <w:pgSz w:w="11906" w:h="16838" w:code="9"/>
          <w:pgMar w:top="2835" w:right="1418" w:bottom="1418" w:left="1418" w:header="1304" w:footer="709" w:gutter="0"/>
          <w:cols w:space="708"/>
          <w:docGrid w:linePitch="360"/>
        </w:sectPr>
      </w:pPr>
    </w:p>
    <w:p w14:paraId="6A6E16F3" w14:textId="09A2C86D" w:rsidR="002800E3" w:rsidRPr="001F29C1" w:rsidRDefault="002800E3" w:rsidP="00CC7165">
      <w:pPr>
        <w:jc w:val="both"/>
        <w:rPr>
          <w:b/>
          <w:bCs/>
          <w:sz w:val="22"/>
          <w:szCs w:val="22"/>
        </w:rPr>
      </w:pPr>
      <w:bookmarkStart w:id="0" w:name="_Hlk167108397"/>
      <w:r>
        <w:rPr>
          <w:b/>
          <w:sz w:val="22"/>
        </w:rPr>
        <w:lastRenderedPageBreak/>
        <w:t>BERICHT ÜBER DIE GESCHÄFTSTÄTIGKEIT UND DIE VERMÖGENSLAGE DER GESELLSCHAFT FÜR DAS JAHR 2023</w:t>
      </w:r>
    </w:p>
    <w:bookmarkEnd w:id="0"/>
    <w:p w14:paraId="562830B2" w14:textId="77777777" w:rsidR="001F29C1" w:rsidRDefault="001F29C1" w:rsidP="00CC7165">
      <w:pPr>
        <w:jc w:val="both"/>
        <w:rPr>
          <w:sz w:val="22"/>
          <w:szCs w:val="22"/>
        </w:rPr>
      </w:pPr>
    </w:p>
    <w:p w14:paraId="7A65A19D" w14:textId="77777777" w:rsidR="001F29C1" w:rsidRDefault="001F29C1" w:rsidP="00CC7165">
      <w:pPr>
        <w:jc w:val="both"/>
        <w:rPr>
          <w:sz w:val="22"/>
          <w:szCs w:val="22"/>
        </w:rPr>
      </w:pPr>
    </w:p>
    <w:p w14:paraId="76B74764" w14:textId="5EE10ABB" w:rsidR="002800E3" w:rsidRPr="001F29C1" w:rsidRDefault="002800E3" w:rsidP="00CC7165">
      <w:pPr>
        <w:jc w:val="both"/>
        <w:rPr>
          <w:b/>
          <w:bCs/>
          <w:color w:val="009DA8"/>
          <w:sz w:val="22"/>
          <w:szCs w:val="22"/>
        </w:rPr>
      </w:pPr>
      <w:r>
        <w:rPr>
          <w:b/>
          <w:color w:val="009DA8"/>
          <w:sz w:val="22"/>
        </w:rPr>
        <w:t>Grundlegende Angaben zur Gesellschaft</w:t>
      </w:r>
    </w:p>
    <w:p w14:paraId="23F66AF2" w14:textId="77777777" w:rsidR="001F29C1" w:rsidRDefault="001F29C1" w:rsidP="00CC7165">
      <w:pPr>
        <w:jc w:val="both"/>
        <w:rPr>
          <w:sz w:val="22"/>
          <w:szCs w:val="22"/>
        </w:rPr>
      </w:pPr>
    </w:p>
    <w:p w14:paraId="703ACE92" w14:textId="6A6B2454" w:rsidR="002800E3" w:rsidRPr="00446BC4" w:rsidRDefault="002800E3" w:rsidP="00CC7165">
      <w:pPr>
        <w:jc w:val="both"/>
        <w:rPr>
          <w:spacing w:val="-2"/>
          <w:sz w:val="22"/>
          <w:szCs w:val="22"/>
        </w:rPr>
      </w:pPr>
      <w:r w:rsidRPr="00446BC4">
        <w:rPr>
          <w:spacing w:val="-2"/>
          <w:sz w:val="22"/>
        </w:rPr>
        <w:t xml:space="preserve">ZDR Investments SICAV </w:t>
      </w:r>
      <w:proofErr w:type="spellStart"/>
      <w:r w:rsidRPr="00446BC4">
        <w:rPr>
          <w:spacing w:val="-2"/>
          <w:sz w:val="22"/>
        </w:rPr>
        <w:t>a.s.</w:t>
      </w:r>
      <w:proofErr w:type="spellEnd"/>
      <w:r w:rsidRPr="00446BC4">
        <w:rPr>
          <w:spacing w:val="-2"/>
          <w:sz w:val="22"/>
        </w:rPr>
        <w:t xml:space="preserve"> (im Folgenden „</w:t>
      </w:r>
      <w:r w:rsidRPr="00446BC4">
        <w:rPr>
          <w:b/>
          <w:spacing w:val="-2"/>
          <w:sz w:val="22"/>
        </w:rPr>
        <w:t>Gesellschaft</w:t>
      </w:r>
      <w:r w:rsidRPr="00446BC4">
        <w:rPr>
          <w:spacing w:val="-2"/>
          <w:sz w:val="22"/>
        </w:rPr>
        <w:t>“) ist eine juristische Person mit Sitz in der Tschechischen Republik, die befugt ist, von mehreren qualifizierten Anlegern durch die Ausgabe von Beteiligungspapieren ihrer Teilfonds oder dadurch, dass die qualifizierten Anleger deren Gesellschafter werden, Geldmittel oder in Geld bewertbare Gegenstände aufzunehmen, und die aufgenommenen Geldmittel oder in Geld bewertbare Gegenstände auf der Grundlage einer festgelegten Anlagestrategie, die in der Regel auf dem Grundsatz der Risikostreuung beruht, gemeinsam zugunsten dieser qualifizierten Anleger anzulegen und diese Vermögenswerte zu verwalten. Die Gesellschaft ist ein Fonds qualifizierter Anleger und wurde durch Eintragung im Handelsregister am 12.</w:t>
      </w:r>
      <w:r w:rsidR="00446BC4" w:rsidRPr="00446BC4">
        <w:rPr>
          <w:spacing w:val="-2"/>
          <w:sz w:val="22"/>
        </w:rPr>
        <w:t> </w:t>
      </w:r>
      <w:r w:rsidRPr="00446BC4">
        <w:rPr>
          <w:spacing w:val="-2"/>
          <w:sz w:val="22"/>
        </w:rPr>
        <w:t>September</w:t>
      </w:r>
      <w:r w:rsidR="00446BC4" w:rsidRPr="00446BC4">
        <w:rPr>
          <w:spacing w:val="-2"/>
          <w:sz w:val="22"/>
        </w:rPr>
        <w:t> </w:t>
      </w:r>
      <w:r w:rsidRPr="00446BC4">
        <w:rPr>
          <w:spacing w:val="-2"/>
          <w:sz w:val="22"/>
        </w:rPr>
        <w:t xml:space="preserve">2017 gegründet. Die Gesellschaft wurde am 20. Juli 2017 in die von der Tschechischen Nationalbank geführte Liste der Investmentfonds gemäß § 597 </w:t>
      </w:r>
      <w:proofErr w:type="spellStart"/>
      <w:r w:rsidRPr="00446BC4">
        <w:rPr>
          <w:spacing w:val="-2"/>
          <w:sz w:val="22"/>
        </w:rPr>
        <w:t>Lit</w:t>
      </w:r>
      <w:proofErr w:type="spellEnd"/>
      <w:r w:rsidRPr="00446BC4">
        <w:rPr>
          <w:spacing w:val="-2"/>
          <w:sz w:val="22"/>
        </w:rPr>
        <w:t xml:space="preserve">. a) </w:t>
      </w:r>
      <w:proofErr w:type="spellStart"/>
      <w:r w:rsidRPr="00446BC4">
        <w:rPr>
          <w:spacing w:val="-2"/>
          <w:sz w:val="22"/>
        </w:rPr>
        <w:t>InvG</w:t>
      </w:r>
      <w:proofErr w:type="spellEnd"/>
      <w:r w:rsidRPr="00446BC4">
        <w:rPr>
          <w:spacing w:val="-2"/>
          <w:sz w:val="22"/>
        </w:rPr>
        <w:t xml:space="preserve"> eingetragen.</w:t>
      </w:r>
    </w:p>
    <w:p w14:paraId="291F6D99" w14:textId="77777777" w:rsidR="001F29C1" w:rsidRDefault="001F29C1" w:rsidP="00CC7165">
      <w:pPr>
        <w:jc w:val="both"/>
        <w:rPr>
          <w:sz w:val="22"/>
          <w:szCs w:val="22"/>
        </w:rPr>
      </w:pPr>
    </w:p>
    <w:p w14:paraId="1B13B200" w14:textId="6847E4BF" w:rsidR="002800E3" w:rsidRPr="00AD1EE2" w:rsidRDefault="002800E3" w:rsidP="00CC7165">
      <w:pPr>
        <w:jc w:val="both"/>
        <w:rPr>
          <w:sz w:val="22"/>
          <w:szCs w:val="22"/>
        </w:rPr>
      </w:pPr>
      <w:r>
        <w:rPr>
          <w:sz w:val="22"/>
        </w:rPr>
        <w:t xml:space="preserve">Die Gesellschaft ist befugt, sich selbst zu leiten und ihre Verwaltung durch ihr individuelles gesetzlich vorgesehenes Leitungsorgan, das eine zur Leitung der Gesellschaft </w:t>
      </w:r>
      <w:proofErr w:type="gramStart"/>
      <w:r>
        <w:rPr>
          <w:sz w:val="22"/>
        </w:rPr>
        <w:t>befugte</w:t>
      </w:r>
      <w:proofErr w:type="gramEnd"/>
      <w:r>
        <w:rPr>
          <w:sz w:val="22"/>
        </w:rPr>
        <w:t xml:space="preserve"> juristische Person ist, durchzuführen. Der Verwalter der Gesellschaft ist CODYA </w:t>
      </w:r>
      <w:proofErr w:type="spellStart"/>
      <w:r>
        <w:rPr>
          <w:sz w:val="22"/>
        </w:rPr>
        <w:t>investiční</w:t>
      </w:r>
      <w:proofErr w:type="spellEnd"/>
      <w:r>
        <w:rPr>
          <w:sz w:val="22"/>
        </w:rPr>
        <w:t xml:space="preserve"> </w:t>
      </w:r>
      <w:proofErr w:type="spellStart"/>
      <w:r>
        <w:rPr>
          <w:sz w:val="22"/>
        </w:rPr>
        <w:t>společnost</w:t>
      </w:r>
      <w:proofErr w:type="spellEnd"/>
      <w:r>
        <w:rPr>
          <w:sz w:val="22"/>
        </w:rPr>
        <w:t xml:space="preserve">, </w:t>
      </w:r>
      <w:proofErr w:type="spellStart"/>
      <w:r>
        <w:rPr>
          <w:sz w:val="22"/>
        </w:rPr>
        <w:t>a.s.</w:t>
      </w:r>
      <w:proofErr w:type="spellEnd"/>
      <w:r>
        <w:rPr>
          <w:sz w:val="22"/>
        </w:rPr>
        <w:t xml:space="preserve"> (im Folgenden „</w:t>
      </w:r>
      <w:r>
        <w:rPr>
          <w:b/>
          <w:sz w:val="22"/>
        </w:rPr>
        <w:t>Gesetzlich vorgesehenes</w:t>
      </w:r>
      <w:r>
        <w:rPr>
          <w:sz w:val="22"/>
        </w:rPr>
        <w:t xml:space="preserve"> </w:t>
      </w:r>
      <w:r>
        <w:rPr>
          <w:b/>
          <w:sz w:val="22"/>
        </w:rPr>
        <w:t>Leitungsorgan</w:t>
      </w:r>
      <w:r>
        <w:rPr>
          <w:sz w:val="22"/>
        </w:rPr>
        <w:t>“).</w:t>
      </w:r>
    </w:p>
    <w:p w14:paraId="1284B22F" w14:textId="77777777" w:rsidR="001F29C1" w:rsidRDefault="001F29C1" w:rsidP="00CC7165">
      <w:pPr>
        <w:jc w:val="both"/>
        <w:rPr>
          <w:sz w:val="22"/>
          <w:szCs w:val="22"/>
        </w:rPr>
      </w:pPr>
    </w:p>
    <w:p w14:paraId="5DA06052" w14:textId="35BC43E0" w:rsidR="002800E3" w:rsidRPr="00AD1EE2" w:rsidRDefault="002800E3" w:rsidP="00CC7165">
      <w:pPr>
        <w:jc w:val="both"/>
        <w:rPr>
          <w:sz w:val="22"/>
          <w:szCs w:val="22"/>
        </w:rPr>
      </w:pPr>
      <w:r>
        <w:rPr>
          <w:sz w:val="22"/>
        </w:rPr>
        <w:t xml:space="preserve">Die Gesellschaft kann in Übereinstimmung mit ihrer Satzung Teilfonds auflegen. Die Gesellschaft hat den Teilfonds ZDR Real Estate, </w:t>
      </w:r>
      <w:proofErr w:type="spellStart"/>
      <w:r>
        <w:rPr>
          <w:sz w:val="22"/>
        </w:rPr>
        <w:t>podfond</w:t>
      </w:r>
      <w:proofErr w:type="spellEnd"/>
      <w:r>
        <w:rPr>
          <w:sz w:val="22"/>
        </w:rPr>
        <w:t xml:space="preserve"> aufgelegt.</w:t>
      </w:r>
    </w:p>
    <w:p w14:paraId="4D7A2F7F" w14:textId="77777777" w:rsidR="001E262F" w:rsidRDefault="001E262F" w:rsidP="00CC7165">
      <w:pPr>
        <w:jc w:val="both"/>
        <w:rPr>
          <w:sz w:val="22"/>
          <w:szCs w:val="22"/>
        </w:rPr>
      </w:pPr>
    </w:p>
    <w:p w14:paraId="6C9C1E13" w14:textId="07F4980F" w:rsidR="002800E3" w:rsidRPr="001E262F" w:rsidRDefault="002800E3" w:rsidP="00CC7165">
      <w:pPr>
        <w:jc w:val="both"/>
        <w:rPr>
          <w:b/>
          <w:bCs/>
          <w:color w:val="009DA8"/>
          <w:sz w:val="22"/>
          <w:szCs w:val="22"/>
        </w:rPr>
      </w:pPr>
      <w:r>
        <w:rPr>
          <w:b/>
          <w:color w:val="009DA8"/>
          <w:sz w:val="22"/>
        </w:rPr>
        <w:t>Tätigkeit der Gesellschaft</w:t>
      </w:r>
    </w:p>
    <w:p w14:paraId="4B0B7549" w14:textId="77777777" w:rsidR="001E262F" w:rsidRDefault="001E262F" w:rsidP="00CC7165">
      <w:pPr>
        <w:jc w:val="both"/>
        <w:rPr>
          <w:sz w:val="22"/>
          <w:szCs w:val="22"/>
        </w:rPr>
      </w:pPr>
    </w:p>
    <w:p w14:paraId="3C3ABB82" w14:textId="01438F68" w:rsidR="002800E3" w:rsidRPr="00AD1EE2" w:rsidRDefault="002800E3" w:rsidP="00CC7165">
      <w:pPr>
        <w:jc w:val="both"/>
        <w:rPr>
          <w:sz w:val="22"/>
          <w:szCs w:val="22"/>
        </w:rPr>
      </w:pPr>
      <w:r>
        <w:rPr>
          <w:sz w:val="22"/>
        </w:rPr>
        <w:t>Ziel der Gesellschaft ist es, einzelne Teilfonds aufzulegen, über die sich die Gesellschaft bemüht, die Finanzmittel der Anleger aufzuwerten. Das Anlageziel der Gesellschaft im Jahr 2023 bestand darin, Geldmittel oder in Geld bewertbare Gegenstände von qualifizierten Anlegern aufzunehmen und sie gemäß der festgelegten Anlagestrategie des aufgelegten Teilfonds zu investieren. Die Gesellschaft als solche übt keine Investitionstätigkeit aus.</w:t>
      </w:r>
    </w:p>
    <w:p w14:paraId="28CA06B2" w14:textId="77777777" w:rsidR="001E262F" w:rsidRDefault="001E262F" w:rsidP="00CC7165">
      <w:pPr>
        <w:jc w:val="both"/>
        <w:rPr>
          <w:sz w:val="22"/>
          <w:szCs w:val="22"/>
        </w:rPr>
      </w:pPr>
    </w:p>
    <w:p w14:paraId="343846C4" w14:textId="119F569A" w:rsidR="002800E3" w:rsidRPr="00AD1EE2" w:rsidRDefault="002800E3" w:rsidP="00CC7165">
      <w:pPr>
        <w:jc w:val="both"/>
        <w:rPr>
          <w:sz w:val="22"/>
          <w:szCs w:val="22"/>
        </w:rPr>
      </w:pPr>
      <w:r>
        <w:rPr>
          <w:sz w:val="22"/>
        </w:rPr>
        <w:t xml:space="preserve">Die Wirtschaftsergebnisse der Gesellschaft wurden von der Wirtschaftsprüfungsgesellschaft TPA Audit </w:t>
      </w:r>
      <w:proofErr w:type="spellStart"/>
      <w:r>
        <w:rPr>
          <w:sz w:val="22"/>
        </w:rPr>
        <w:t>s.r.o</w:t>
      </w:r>
      <w:proofErr w:type="spellEnd"/>
      <w:r>
        <w:rPr>
          <w:sz w:val="22"/>
        </w:rPr>
        <w:t xml:space="preserve">., </w:t>
      </w:r>
      <w:proofErr w:type="gramStart"/>
      <w:r>
        <w:rPr>
          <w:sz w:val="22"/>
        </w:rPr>
        <w:t>Ident</w:t>
      </w:r>
      <w:proofErr w:type="gramEnd"/>
      <w:r>
        <w:rPr>
          <w:sz w:val="22"/>
        </w:rPr>
        <w:t xml:space="preserve">.-Nr. 602 03 480, mit Sitz in </w:t>
      </w:r>
      <w:proofErr w:type="spellStart"/>
      <w:r>
        <w:rPr>
          <w:sz w:val="22"/>
        </w:rPr>
        <w:t>Antala</w:t>
      </w:r>
      <w:proofErr w:type="spellEnd"/>
      <w:r>
        <w:rPr>
          <w:sz w:val="22"/>
        </w:rPr>
        <w:t xml:space="preserve"> </w:t>
      </w:r>
      <w:proofErr w:type="spellStart"/>
      <w:r>
        <w:rPr>
          <w:sz w:val="22"/>
        </w:rPr>
        <w:t>Staška</w:t>
      </w:r>
      <w:proofErr w:type="spellEnd"/>
      <w:r>
        <w:rPr>
          <w:sz w:val="22"/>
        </w:rPr>
        <w:t xml:space="preserve"> 2027/79, </w:t>
      </w:r>
      <w:proofErr w:type="spellStart"/>
      <w:r>
        <w:rPr>
          <w:sz w:val="22"/>
        </w:rPr>
        <w:t>Krč</w:t>
      </w:r>
      <w:proofErr w:type="spellEnd"/>
      <w:r>
        <w:rPr>
          <w:sz w:val="22"/>
        </w:rPr>
        <w:t>, 140 00 Praha 4 geprüft. Der Wirtschaftsprüfer ist bei der Wirtschaftsprüferkammer der Tschechischen Republik unter der Nr. 080 registriert.</w:t>
      </w:r>
    </w:p>
    <w:p w14:paraId="7CB492CF" w14:textId="77777777" w:rsidR="001E262F" w:rsidRDefault="001E262F" w:rsidP="00CC7165">
      <w:pPr>
        <w:jc w:val="both"/>
        <w:rPr>
          <w:sz w:val="22"/>
          <w:szCs w:val="22"/>
        </w:rPr>
      </w:pPr>
    </w:p>
    <w:p w14:paraId="6DFF8D30" w14:textId="696FAFB5" w:rsidR="002800E3" w:rsidRPr="001E262F" w:rsidRDefault="002800E3" w:rsidP="00CC7165">
      <w:pPr>
        <w:jc w:val="both"/>
        <w:rPr>
          <w:b/>
          <w:bCs/>
          <w:color w:val="009DA8"/>
          <w:sz w:val="22"/>
          <w:szCs w:val="22"/>
        </w:rPr>
      </w:pPr>
      <w:r>
        <w:rPr>
          <w:b/>
          <w:color w:val="009DA8"/>
          <w:sz w:val="22"/>
        </w:rPr>
        <w:t>Wirtschaftsführung der Gesellschaft im Jahr 2023</w:t>
      </w:r>
    </w:p>
    <w:p w14:paraId="299F7D38" w14:textId="77777777" w:rsidR="001E262F" w:rsidRDefault="001E262F" w:rsidP="00CC7165">
      <w:pPr>
        <w:jc w:val="both"/>
        <w:rPr>
          <w:sz w:val="22"/>
          <w:szCs w:val="22"/>
        </w:rPr>
      </w:pPr>
    </w:p>
    <w:p w14:paraId="7FD86F48" w14:textId="1274DD09" w:rsidR="002800E3" w:rsidRPr="00AD1EE2" w:rsidRDefault="002800E3" w:rsidP="00CC7165">
      <w:pPr>
        <w:jc w:val="both"/>
        <w:rPr>
          <w:sz w:val="22"/>
          <w:szCs w:val="22"/>
        </w:rPr>
      </w:pPr>
      <w:r>
        <w:rPr>
          <w:sz w:val="22"/>
        </w:rPr>
        <w:t>Ein den tatsächlichen Verhältnissen entsprechendes Bild der Wirtschaftsführung der Gesellschaft vermittelt der ordnungsgemäße Jahresabschluss für den Zeitraum vom 1.</w:t>
      </w:r>
      <w:r w:rsidR="00446BC4">
        <w:rPr>
          <w:sz w:val="22"/>
        </w:rPr>
        <w:t> </w:t>
      </w:r>
      <w:r>
        <w:rPr>
          <w:sz w:val="22"/>
        </w:rPr>
        <w:t>Januar 2023 bis zum 31. Dezember 2023 („</w:t>
      </w:r>
      <w:r>
        <w:rPr>
          <w:b/>
          <w:sz w:val="22"/>
        </w:rPr>
        <w:t>Rechnungsperiode</w:t>
      </w:r>
      <w:r>
        <w:rPr>
          <w:sz w:val="22"/>
        </w:rPr>
        <w:t>“) sowie der Anhang zum Jahresabschluss, die der integrale Bestandteil dieses Jahresberichts sind.</w:t>
      </w:r>
    </w:p>
    <w:p w14:paraId="47B87C4F" w14:textId="77777777" w:rsidR="001E262F" w:rsidRDefault="001E262F" w:rsidP="00CC7165">
      <w:pPr>
        <w:jc w:val="both"/>
        <w:rPr>
          <w:sz w:val="22"/>
          <w:szCs w:val="22"/>
        </w:rPr>
      </w:pPr>
    </w:p>
    <w:p w14:paraId="2D321F4F" w14:textId="66939B44" w:rsidR="002800E3" w:rsidRPr="001E262F" w:rsidRDefault="002800E3" w:rsidP="00CC7165">
      <w:pPr>
        <w:jc w:val="both"/>
        <w:rPr>
          <w:b/>
          <w:bCs/>
          <w:sz w:val="22"/>
          <w:szCs w:val="22"/>
        </w:rPr>
      </w:pPr>
      <w:r>
        <w:rPr>
          <w:b/>
          <w:sz w:val="22"/>
        </w:rPr>
        <w:t>Vermögenslage der Gesellschaft</w:t>
      </w:r>
    </w:p>
    <w:p w14:paraId="25036748" w14:textId="77777777" w:rsidR="001E262F" w:rsidRDefault="001E262F" w:rsidP="00CC7165">
      <w:pPr>
        <w:jc w:val="both"/>
        <w:rPr>
          <w:sz w:val="22"/>
          <w:szCs w:val="22"/>
        </w:rPr>
      </w:pPr>
    </w:p>
    <w:p w14:paraId="76E7E0CE" w14:textId="0E9DF167" w:rsidR="002800E3" w:rsidRPr="001E262F" w:rsidRDefault="002800E3" w:rsidP="00CC7165">
      <w:pPr>
        <w:jc w:val="both"/>
        <w:rPr>
          <w:b/>
          <w:bCs/>
          <w:sz w:val="22"/>
          <w:szCs w:val="22"/>
        </w:rPr>
      </w:pPr>
      <w:r>
        <w:rPr>
          <w:b/>
          <w:sz w:val="22"/>
        </w:rPr>
        <w:t>Aktiva</w:t>
      </w:r>
    </w:p>
    <w:p w14:paraId="38A82723" w14:textId="77777777" w:rsidR="002800E3" w:rsidRPr="00AD1EE2" w:rsidRDefault="002800E3" w:rsidP="002800E3">
      <w:pPr>
        <w:rPr>
          <w:sz w:val="22"/>
          <w:szCs w:val="22"/>
        </w:rPr>
      </w:pPr>
      <w:r>
        <w:rPr>
          <w:sz w:val="22"/>
        </w:rPr>
        <w:t>Zum 31.12.2023 wies die Gesellschaft Aktiva in Höhe von insgesamt 60,- CZK aus.</w:t>
      </w:r>
    </w:p>
    <w:p w14:paraId="5467FE7D" w14:textId="77777777" w:rsidR="001E262F" w:rsidRDefault="001E262F" w:rsidP="002800E3">
      <w:pPr>
        <w:rPr>
          <w:sz w:val="22"/>
          <w:szCs w:val="22"/>
        </w:rPr>
      </w:pPr>
    </w:p>
    <w:p w14:paraId="25F23D90" w14:textId="059C3348" w:rsidR="002800E3" w:rsidRPr="001E262F" w:rsidRDefault="002800E3" w:rsidP="002800E3">
      <w:pPr>
        <w:rPr>
          <w:b/>
          <w:bCs/>
          <w:sz w:val="22"/>
          <w:szCs w:val="22"/>
        </w:rPr>
      </w:pPr>
      <w:r>
        <w:rPr>
          <w:b/>
          <w:sz w:val="22"/>
        </w:rPr>
        <w:lastRenderedPageBreak/>
        <w:t>Passiva</w:t>
      </w:r>
    </w:p>
    <w:p w14:paraId="59307A9A" w14:textId="28506D46" w:rsidR="002800E3" w:rsidRDefault="002800E3" w:rsidP="002800E3">
      <w:pPr>
        <w:rPr>
          <w:sz w:val="22"/>
        </w:rPr>
      </w:pPr>
      <w:r>
        <w:rPr>
          <w:sz w:val="22"/>
        </w:rPr>
        <w:t>Die Summe der Passiva der Gesellschaft beträgt zum 31.12.2023 60,- CZK.</w:t>
      </w:r>
    </w:p>
    <w:p w14:paraId="307CE974" w14:textId="77777777" w:rsidR="00446BC4" w:rsidRPr="00AD1EE2" w:rsidRDefault="00446BC4" w:rsidP="002800E3">
      <w:pPr>
        <w:rPr>
          <w:sz w:val="22"/>
          <w:szCs w:val="22"/>
        </w:rPr>
      </w:pPr>
    </w:p>
    <w:p w14:paraId="33DC561D" w14:textId="77777777" w:rsidR="002800E3" w:rsidRPr="001E262F" w:rsidRDefault="002800E3" w:rsidP="002800E3">
      <w:pPr>
        <w:rPr>
          <w:b/>
          <w:bCs/>
          <w:color w:val="009DA8"/>
          <w:sz w:val="22"/>
          <w:szCs w:val="22"/>
        </w:rPr>
      </w:pPr>
      <w:r>
        <w:rPr>
          <w:b/>
          <w:color w:val="009DA8"/>
          <w:sz w:val="22"/>
        </w:rPr>
        <w:t>Ausblick für das Jahr 2024</w:t>
      </w:r>
    </w:p>
    <w:p w14:paraId="247326AA" w14:textId="77777777" w:rsidR="001E262F" w:rsidRDefault="001E262F" w:rsidP="002800E3">
      <w:pPr>
        <w:rPr>
          <w:sz w:val="22"/>
          <w:szCs w:val="22"/>
        </w:rPr>
      </w:pPr>
    </w:p>
    <w:p w14:paraId="26E06D27" w14:textId="6277AEA0" w:rsidR="002800E3" w:rsidRPr="00AD1EE2" w:rsidRDefault="002800E3" w:rsidP="001E262F">
      <w:pPr>
        <w:jc w:val="both"/>
        <w:rPr>
          <w:sz w:val="22"/>
          <w:szCs w:val="22"/>
        </w:rPr>
      </w:pPr>
      <w:r>
        <w:rPr>
          <w:sz w:val="22"/>
        </w:rPr>
        <w:t>Das Unternehmen wird weiterhin keine Tätigkeit ausüben. Die Geschäftstätigkeit der Gesellschaft besteht ausschließlich im Halten des gezeichneten Grundkapitals der Gesellschaft, für das die Gesellschaft Gründeraktien ausgegeben hat. Der Jahresabschluss wird für die Gesellschaft und für die einzelnen Teilfonds getrennt aufgestellt. Der Ausblick für das Jahr 2024 für die Tätigkeit der Teilfonds ist in deren selbständigen Jahresberichten beschrieben.</w:t>
      </w:r>
    </w:p>
    <w:p w14:paraId="202426EF" w14:textId="77777777" w:rsidR="001E262F" w:rsidRDefault="001E262F" w:rsidP="002800E3">
      <w:pPr>
        <w:rPr>
          <w:sz w:val="22"/>
          <w:szCs w:val="22"/>
        </w:rPr>
      </w:pPr>
    </w:p>
    <w:p w14:paraId="784408AC" w14:textId="77777777" w:rsidR="001E262F" w:rsidRDefault="001E262F" w:rsidP="002800E3">
      <w:pPr>
        <w:rPr>
          <w:sz w:val="22"/>
          <w:szCs w:val="22"/>
        </w:rPr>
      </w:pPr>
    </w:p>
    <w:p w14:paraId="0AC84A1D" w14:textId="25F66316" w:rsidR="002800E3" w:rsidRPr="00AD1EE2" w:rsidRDefault="002800E3" w:rsidP="002800E3">
      <w:pPr>
        <w:rPr>
          <w:sz w:val="22"/>
          <w:szCs w:val="22"/>
        </w:rPr>
      </w:pPr>
      <w:r>
        <w:rPr>
          <w:sz w:val="22"/>
        </w:rPr>
        <w:t>Brno, den 30. April 2024</w:t>
      </w:r>
    </w:p>
    <w:p w14:paraId="3830E9BD" w14:textId="1C8F1B1A" w:rsidR="001E262F" w:rsidRDefault="001E262F" w:rsidP="001E262F">
      <w:pPr>
        <w:ind w:right="4676"/>
        <w:rPr>
          <w:sz w:val="22"/>
          <w:szCs w:val="22"/>
        </w:rPr>
      </w:pPr>
    </w:p>
    <w:p w14:paraId="390F68D2" w14:textId="1F3518DB" w:rsidR="001E262F" w:rsidRDefault="001E262F" w:rsidP="00A74593">
      <w:pPr>
        <w:spacing w:before="160"/>
        <w:ind w:left="-28" w:right="4676"/>
        <w:rPr>
          <w:sz w:val="22"/>
          <w:szCs w:val="22"/>
        </w:rPr>
      </w:pPr>
      <w:r>
        <w:rPr>
          <w:noProof/>
        </w:rPr>
        <w:drawing>
          <wp:inline distT="0" distB="0" distL="0" distR="0" wp14:anchorId="530757DC" wp14:editId="4511C60F">
            <wp:extent cx="2697480" cy="844550"/>
            <wp:effectExtent l="0" t="0" r="7620" b="0"/>
            <wp:docPr id="25" name="Shape 18" descr="Obsah obrázku rukopis, Písmo, kaligrafie, text&#10;&#10;Popis byl vytvořen automaticky"/>
            <wp:cNvGraphicFramePr/>
            <a:graphic xmlns:a="http://schemas.openxmlformats.org/drawingml/2006/main">
              <a:graphicData uri="http://schemas.openxmlformats.org/drawingml/2006/picture">
                <pic:pic xmlns:pic="http://schemas.openxmlformats.org/drawingml/2006/picture">
                  <pic:nvPicPr>
                    <pic:cNvPr id="25" name="Shape 18" descr="Obsah obrázku rukopis, Písmo, kaligrafie, text&#10;&#10;Popis byl vytvořen automaticky"/>
                    <pic:cNvPicPr/>
                  </pic:nvPicPr>
                  <pic:blipFill>
                    <a:blip r:embed="rId22" cstate="print">
                      <a:extLst>
                        <a:ext uri="{28A0092B-C50C-407E-A947-70E740481C1C}">
                          <a14:useLocalDpi xmlns:a14="http://schemas.microsoft.com/office/drawing/2010/main" val="0"/>
                        </a:ext>
                      </a:extLst>
                    </a:blip>
                    <a:stretch/>
                  </pic:blipFill>
                  <pic:spPr>
                    <a:xfrm>
                      <a:off x="0" y="0"/>
                      <a:ext cx="2697480" cy="844550"/>
                    </a:xfrm>
                    <a:prstGeom prst="rect">
                      <a:avLst/>
                    </a:prstGeom>
                  </pic:spPr>
                </pic:pic>
              </a:graphicData>
            </a:graphic>
          </wp:inline>
        </w:drawing>
      </w:r>
    </w:p>
    <w:p w14:paraId="40CFDEF3" w14:textId="4783CFED" w:rsidR="002800E3" w:rsidRPr="000F3A73" w:rsidRDefault="002800E3" w:rsidP="001E262F">
      <w:pPr>
        <w:spacing w:after="30"/>
        <w:rPr>
          <w:sz w:val="22"/>
          <w:szCs w:val="22"/>
          <w:lang w:val="en-GB"/>
        </w:rPr>
      </w:pPr>
      <w:r w:rsidRPr="000F3A73">
        <w:rPr>
          <w:sz w:val="22"/>
          <w:lang w:val="en-GB"/>
        </w:rPr>
        <w:t xml:space="preserve">ZDR Investments SICAV </w:t>
      </w:r>
      <w:proofErr w:type="spellStart"/>
      <w:r w:rsidRPr="000F3A73">
        <w:rPr>
          <w:sz w:val="22"/>
          <w:lang w:val="en-GB"/>
        </w:rPr>
        <w:t>a.s.</w:t>
      </w:r>
      <w:proofErr w:type="spellEnd"/>
    </w:p>
    <w:p w14:paraId="01A8F4C3" w14:textId="77777777" w:rsidR="002800E3" w:rsidRPr="00AD1EE2" w:rsidRDefault="002800E3" w:rsidP="001E262F">
      <w:pPr>
        <w:spacing w:after="30"/>
        <w:rPr>
          <w:sz w:val="22"/>
          <w:szCs w:val="22"/>
        </w:rPr>
      </w:pPr>
      <w:r>
        <w:rPr>
          <w:sz w:val="22"/>
        </w:rPr>
        <w:t xml:space="preserve">Ing. Robert </w:t>
      </w:r>
      <w:proofErr w:type="spellStart"/>
      <w:r>
        <w:rPr>
          <w:sz w:val="22"/>
        </w:rPr>
        <w:t>Hlava</w:t>
      </w:r>
      <w:proofErr w:type="spellEnd"/>
    </w:p>
    <w:p w14:paraId="11848490" w14:textId="77777777" w:rsidR="001E262F" w:rsidRDefault="002800E3" w:rsidP="001E262F">
      <w:pPr>
        <w:spacing w:after="30"/>
        <w:rPr>
          <w:sz w:val="22"/>
          <w:szCs w:val="22"/>
        </w:rPr>
      </w:pPr>
      <w:r>
        <w:rPr>
          <w:sz w:val="22"/>
        </w:rPr>
        <w:t>beauftragter Bevollmächtigter des einzigen Mitglieds des Verwaltungsrats</w:t>
      </w:r>
    </w:p>
    <w:p w14:paraId="49C28035" w14:textId="744AB99D" w:rsidR="002800E3" w:rsidRPr="00AD1EE2" w:rsidRDefault="002800E3" w:rsidP="002800E3">
      <w:pPr>
        <w:rPr>
          <w:sz w:val="22"/>
          <w:szCs w:val="22"/>
        </w:rPr>
      </w:pPr>
      <w:r>
        <w:rPr>
          <w:sz w:val="22"/>
        </w:rPr>
        <w:t xml:space="preserve">CODYA </w:t>
      </w:r>
      <w:proofErr w:type="spellStart"/>
      <w:r>
        <w:rPr>
          <w:sz w:val="22"/>
        </w:rPr>
        <w:t>investiční</w:t>
      </w:r>
      <w:proofErr w:type="spellEnd"/>
      <w:r>
        <w:rPr>
          <w:sz w:val="22"/>
        </w:rPr>
        <w:t xml:space="preserve"> </w:t>
      </w:r>
      <w:proofErr w:type="spellStart"/>
      <w:r>
        <w:rPr>
          <w:sz w:val="22"/>
        </w:rPr>
        <w:t>společnost</w:t>
      </w:r>
      <w:proofErr w:type="spellEnd"/>
      <w:r>
        <w:rPr>
          <w:sz w:val="22"/>
        </w:rPr>
        <w:t xml:space="preserve">, </w:t>
      </w:r>
      <w:proofErr w:type="spellStart"/>
      <w:r>
        <w:rPr>
          <w:sz w:val="22"/>
        </w:rPr>
        <w:t>a.s.</w:t>
      </w:r>
      <w:proofErr w:type="spellEnd"/>
    </w:p>
    <w:p w14:paraId="52ADE583" w14:textId="77777777" w:rsidR="001E262F" w:rsidRDefault="001E262F" w:rsidP="002800E3">
      <w:pPr>
        <w:rPr>
          <w:sz w:val="22"/>
          <w:szCs w:val="22"/>
        </w:rPr>
      </w:pPr>
    </w:p>
    <w:p w14:paraId="1EB710EC" w14:textId="7010E1A8" w:rsidR="001E262F" w:rsidRDefault="001E262F" w:rsidP="002800E3">
      <w:pPr>
        <w:rPr>
          <w:sz w:val="22"/>
          <w:szCs w:val="22"/>
        </w:rPr>
        <w:sectPr w:rsidR="001E262F" w:rsidSect="001E262F">
          <w:headerReference w:type="default" r:id="rId23"/>
          <w:footerReference w:type="default" r:id="rId24"/>
          <w:pgSz w:w="11906" w:h="16838" w:code="9"/>
          <w:pgMar w:top="2665" w:right="1418" w:bottom="1247" w:left="1701" w:header="1191" w:footer="709" w:gutter="0"/>
          <w:cols w:space="708"/>
          <w:docGrid w:linePitch="360"/>
        </w:sectPr>
      </w:pPr>
    </w:p>
    <w:p w14:paraId="431CC5CD" w14:textId="77777777" w:rsidR="002800E3" w:rsidRPr="00040DF2" w:rsidRDefault="002800E3" w:rsidP="002800E3">
      <w:pPr>
        <w:rPr>
          <w:b/>
          <w:bCs/>
          <w:sz w:val="22"/>
          <w:szCs w:val="22"/>
        </w:rPr>
      </w:pPr>
      <w:r>
        <w:rPr>
          <w:b/>
          <w:sz w:val="22"/>
        </w:rPr>
        <w:lastRenderedPageBreak/>
        <w:t>BERICHT ÜBER BEZIEHUNGEN ZU VERBUNDENEN UNTERNEHMEN FÜR DAS GESCHÄFTSJAHR 2023</w:t>
      </w:r>
    </w:p>
    <w:p w14:paraId="4C381C15" w14:textId="77777777" w:rsidR="00040DF2" w:rsidRDefault="00040DF2" w:rsidP="002800E3">
      <w:pPr>
        <w:rPr>
          <w:sz w:val="22"/>
          <w:szCs w:val="22"/>
        </w:rPr>
      </w:pPr>
    </w:p>
    <w:p w14:paraId="77BEF50F" w14:textId="77777777" w:rsidR="00040DF2" w:rsidRDefault="00040DF2" w:rsidP="002800E3">
      <w:pPr>
        <w:rPr>
          <w:sz w:val="22"/>
          <w:szCs w:val="22"/>
        </w:rPr>
      </w:pPr>
    </w:p>
    <w:p w14:paraId="79C8873A" w14:textId="77777777" w:rsidR="00040DF2" w:rsidRDefault="00040DF2" w:rsidP="002800E3">
      <w:pPr>
        <w:rPr>
          <w:sz w:val="22"/>
          <w:szCs w:val="22"/>
        </w:rPr>
      </w:pPr>
    </w:p>
    <w:p w14:paraId="41DD20C4" w14:textId="73CC2586" w:rsidR="002800E3" w:rsidRPr="00040DF2" w:rsidRDefault="002800E3" w:rsidP="002800E3">
      <w:pPr>
        <w:rPr>
          <w:b/>
          <w:bCs/>
          <w:color w:val="009DA8"/>
          <w:sz w:val="22"/>
          <w:szCs w:val="22"/>
        </w:rPr>
      </w:pPr>
      <w:r>
        <w:rPr>
          <w:b/>
          <w:color w:val="009DA8"/>
          <w:sz w:val="22"/>
        </w:rPr>
        <w:t>Angaben zur Beherrschung</w:t>
      </w:r>
    </w:p>
    <w:p w14:paraId="0DB1D74D" w14:textId="77777777" w:rsidR="00040DF2" w:rsidRDefault="00040DF2" w:rsidP="00040DF2">
      <w:pPr>
        <w:jc w:val="both"/>
        <w:rPr>
          <w:sz w:val="22"/>
          <w:szCs w:val="22"/>
        </w:rPr>
      </w:pPr>
    </w:p>
    <w:p w14:paraId="5B3ECA21" w14:textId="7A9D566C" w:rsidR="002800E3" w:rsidRPr="00AD1EE2" w:rsidRDefault="002800E3" w:rsidP="00040DF2">
      <w:pPr>
        <w:jc w:val="both"/>
        <w:rPr>
          <w:sz w:val="22"/>
          <w:szCs w:val="22"/>
        </w:rPr>
      </w:pPr>
      <w:r>
        <w:rPr>
          <w:sz w:val="22"/>
        </w:rPr>
        <w:t xml:space="preserve">ZDR Investments SICAV a. s., </w:t>
      </w:r>
      <w:proofErr w:type="gramStart"/>
      <w:r>
        <w:rPr>
          <w:sz w:val="22"/>
        </w:rPr>
        <w:t>Ident</w:t>
      </w:r>
      <w:proofErr w:type="gramEnd"/>
      <w:r>
        <w:rPr>
          <w:sz w:val="22"/>
        </w:rPr>
        <w:t xml:space="preserve">.-Nr.: 06421091, mit Sitz in </w:t>
      </w:r>
      <w:proofErr w:type="spellStart"/>
      <w:r>
        <w:rPr>
          <w:sz w:val="22"/>
        </w:rPr>
        <w:t>Jungmannova</w:t>
      </w:r>
      <w:proofErr w:type="spellEnd"/>
      <w:r>
        <w:rPr>
          <w:sz w:val="22"/>
        </w:rPr>
        <w:t xml:space="preserve"> 750/34, </w:t>
      </w:r>
      <w:proofErr w:type="spellStart"/>
      <w:r>
        <w:rPr>
          <w:sz w:val="22"/>
        </w:rPr>
        <w:t>Nové</w:t>
      </w:r>
      <w:proofErr w:type="spellEnd"/>
      <w:r>
        <w:rPr>
          <w:sz w:val="22"/>
        </w:rPr>
        <w:t xml:space="preserve"> </w:t>
      </w:r>
      <w:proofErr w:type="spellStart"/>
      <w:r>
        <w:rPr>
          <w:sz w:val="22"/>
        </w:rPr>
        <w:t>Město</w:t>
      </w:r>
      <w:proofErr w:type="spellEnd"/>
      <w:r>
        <w:rPr>
          <w:sz w:val="22"/>
        </w:rPr>
        <w:t>, 110 00 Praha 1, eingetragen im Handelsregister des Stadtgerichts in Prag, Aktenzeichen B 22826 (im Folgenden „</w:t>
      </w:r>
      <w:r>
        <w:rPr>
          <w:b/>
          <w:sz w:val="22"/>
        </w:rPr>
        <w:t>Gesellschaft</w:t>
      </w:r>
      <w:r>
        <w:rPr>
          <w:sz w:val="22"/>
        </w:rPr>
        <w:t xml:space="preserve">“) </w:t>
      </w:r>
      <w:r>
        <w:rPr>
          <w:sz w:val="22"/>
          <w:u w:val="single"/>
        </w:rPr>
        <w:t>ist eine</w:t>
      </w:r>
      <w:r w:rsidRPr="008A138F">
        <w:rPr>
          <w:sz w:val="22"/>
        </w:rPr>
        <w:t xml:space="preserve"> </w:t>
      </w:r>
      <w:r>
        <w:rPr>
          <w:sz w:val="22"/>
        </w:rPr>
        <w:t xml:space="preserve">von den folgenden </w:t>
      </w:r>
      <w:r>
        <w:rPr>
          <w:sz w:val="22"/>
          <w:u w:val="single"/>
        </w:rPr>
        <w:t>natürlichen Personen</w:t>
      </w:r>
      <w:r w:rsidRPr="008A138F">
        <w:rPr>
          <w:sz w:val="22"/>
          <w:u w:val="single"/>
        </w:rPr>
        <w:t xml:space="preserve"> </w:t>
      </w:r>
      <w:r>
        <w:rPr>
          <w:sz w:val="22"/>
          <w:u w:val="single"/>
        </w:rPr>
        <w:t>beherrschte Person</w:t>
      </w:r>
      <w:r>
        <w:rPr>
          <w:sz w:val="22"/>
        </w:rPr>
        <w:t>:</w:t>
      </w:r>
    </w:p>
    <w:p w14:paraId="1A19383F" w14:textId="77777777" w:rsidR="00040DF2" w:rsidRDefault="00040DF2" w:rsidP="00040DF2">
      <w:pPr>
        <w:jc w:val="both"/>
        <w:rPr>
          <w:sz w:val="22"/>
          <w:szCs w:val="22"/>
        </w:rPr>
      </w:pPr>
    </w:p>
    <w:p w14:paraId="12DD4668" w14:textId="44ECE277" w:rsidR="002800E3" w:rsidRPr="00AD1EE2" w:rsidRDefault="002800E3" w:rsidP="00040DF2">
      <w:pPr>
        <w:jc w:val="both"/>
        <w:rPr>
          <w:sz w:val="22"/>
          <w:szCs w:val="22"/>
        </w:rPr>
      </w:pPr>
      <w:proofErr w:type="spellStart"/>
      <w:r>
        <w:rPr>
          <w:sz w:val="22"/>
        </w:rPr>
        <w:t>JUDr</w:t>
      </w:r>
      <w:proofErr w:type="spellEnd"/>
      <w:r>
        <w:rPr>
          <w:sz w:val="22"/>
        </w:rPr>
        <w:t xml:space="preserve">. </w:t>
      </w:r>
      <w:proofErr w:type="spellStart"/>
      <w:r>
        <w:rPr>
          <w:sz w:val="22"/>
        </w:rPr>
        <w:t>Zdeněk</w:t>
      </w:r>
      <w:proofErr w:type="spellEnd"/>
      <w:r>
        <w:rPr>
          <w:sz w:val="22"/>
        </w:rPr>
        <w:t xml:space="preserve"> </w:t>
      </w:r>
      <w:proofErr w:type="spellStart"/>
      <w:r>
        <w:rPr>
          <w:sz w:val="22"/>
        </w:rPr>
        <w:t>Prázdný</w:t>
      </w:r>
      <w:proofErr w:type="spellEnd"/>
      <w:r>
        <w:rPr>
          <w:sz w:val="22"/>
        </w:rPr>
        <w:t xml:space="preserve">, geb. am 18.04.1960, wohnhaft in </w:t>
      </w:r>
      <w:proofErr w:type="spellStart"/>
      <w:r>
        <w:rPr>
          <w:sz w:val="22"/>
        </w:rPr>
        <w:t>Ohradní</w:t>
      </w:r>
      <w:proofErr w:type="spellEnd"/>
      <w:r>
        <w:rPr>
          <w:sz w:val="22"/>
        </w:rPr>
        <w:t xml:space="preserve"> 1353/33, </w:t>
      </w:r>
      <w:proofErr w:type="spellStart"/>
      <w:r>
        <w:rPr>
          <w:sz w:val="22"/>
        </w:rPr>
        <w:t>Michle</w:t>
      </w:r>
      <w:proofErr w:type="spellEnd"/>
      <w:r>
        <w:rPr>
          <w:sz w:val="22"/>
        </w:rPr>
        <w:t xml:space="preserve">, 140 00 Praha 4, der 21 </w:t>
      </w:r>
      <w:proofErr w:type="spellStart"/>
      <w:r>
        <w:rPr>
          <w:sz w:val="22"/>
        </w:rPr>
        <w:t>Stk</w:t>
      </w:r>
      <w:proofErr w:type="spellEnd"/>
      <w:r>
        <w:rPr>
          <w:sz w:val="22"/>
        </w:rPr>
        <w:t>. Gründeraktien der Gesellschaft gezeichnet hat, die einem Anteil von 35</w:t>
      </w:r>
      <w:r w:rsidR="003E2340">
        <w:rPr>
          <w:sz w:val="22"/>
        </w:rPr>
        <w:t> %</w:t>
      </w:r>
      <w:r>
        <w:rPr>
          <w:sz w:val="22"/>
        </w:rPr>
        <w:t xml:space="preserve"> am gezeichneten Grundkapital der Gesellschaft entsprechen,</w:t>
      </w:r>
    </w:p>
    <w:p w14:paraId="2160596A" w14:textId="77777777" w:rsidR="00040DF2" w:rsidRDefault="00040DF2" w:rsidP="00040DF2">
      <w:pPr>
        <w:jc w:val="both"/>
        <w:rPr>
          <w:sz w:val="22"/>
          <w:szCs w:val="22"/>
        </w:rPr>
      </w:pPr>
    </w:p>
    <w:p w14:paraId="4DE2C545" w14:textId="548F87FA" w:rsidR="002800E3" w:rsidRPr="00AD1EE2" w:rsidRDefault="002800E3" w:rsidP="00040DF2">
      <w:pPr>
        <w:jc w:val="both"/>
        <w:rPr>
          <w:sz w:val="22"/>
          <w:szCs w:val="22"/>
        </w:rPr>
      </w:pPr>
      <w:r>
        <w:rPr>
          <w:sz w:val="22"/>
        </w:rPr>
        <w:t xml:space="preserve">Roman </w:t>
      </w:r>
      <w:proofErr w:type="spellStart"/>
      <w:r>
        <w:rPr>
          <w:sz w:val="22"/>
        </w:rPr>
        <w:t>Latuske</w:t>
      </w:r>
      <w:proofErr w:type="spellEnd"/>
      <w:r>
        <w:rPr>
          <w:sz w:val="22"/>
        </w:rPr>
        <w:t xml:space="preserve">, geb. am 24.09.1973, wohnhaft in V </w:t>
      </w:r>
      <w:proofErr w:type="spellStart"/>
      <w:r>
        <w:rPr>
          <w:sz w:val="22"/>
        </w:rPr>
        <w:t>Kopci</w:t>
      </w:r>
      <w:proofErr w:type="spellEnd"/>
      <w:r>
        <w:rPr>
          <w:sz w:val="22"/>
        </w:rPr>
        <w:t xml:space="preserve"> 320, </w:t>
      </w:r>
      <w:proofErr w:type="spellStart"/>
      <w:r>
        <w:rPr>
          <w:sz w:val="22"/>
        </w:rPr>
        <w:t>Chlomek</w:t>
      </w:r>
      <w:proofErr w:type="spellEnd"/>
      <w:r>
        <w:rPr>
          <w:sz w:val="22"/>
        </w:rPr>
        <w:t xml:space="preserve">, 252 06 Petrov, der 18 </w:t>
      </w:r>
      <w:proofErr w:type="spellStart"/>
      <w:r>
        <w:rPr>
          <w:sz w:val="22"/>
        </w:rPr>
        <w:t>Stk</w:t>
      </w:r>
      <w:proofErr w:type="spellEnd"/>
      <w:r>
        <w:rPr>
          <w:sz w:val="22"/>
        </w:rPr>
        <w:t>. Gründeraktien der Gesellschaft gezeichnet hat, die einem Anteil von 30 % am gezeichneten Grundkapital der Gesellschaft entsprechen,</w:t>
      </w:r>
    </w:p>
    <w:p w14:paraId="71FEE0D8" w14:textId="77777777" w:rsidR="00040DF2" w:rsidRDefault="00040DF2" w:rsidP="00040DF2">
      <w:pPr>
        <w:jc w:val="both"/>
        <w:rPr>
          <w:sz w:val="22"/>
          <w:szCs w:val="22"/>
        </w:rPr>
      </w:pPr>
    </w:p>
    <w:p w14:paraId="0FB6B878" w14:textId="39C7E6C5" w:rsidR="002800E3" w:rsidRPr="00AD1EE2" w:rsidRDefault="002800E3" w:rsidP="00040DF2">
      <w:pPr>
        <w:jc w:val="both"/>
        <w:rPr>
          <w:sz w:val="22"/>
          <w:szCs w:val="22"/>
        </w:rPr>
      </w:pPr>
      <w:proofErr w:type="spellStart"/>
      <w:r>
        <w:rPr>
          <w:sz w:val="22"/>
        </w:rPr>
        <w:t>Mgr</w:t>
      </w:r>
      <w:proofErr w:type="spellEnd"/>
      <w:r>
        <w:rPr>
          <w:sz w:val="22"/>
        </w:rPr>
        <w:t xml:space="preserve">. Radek </w:t>
      </w:r>
      <w:proofErr w:type="spellStart"/>
      <w:r>
        <w:rPr>
          <w:sz w:val="22"/>
        </w:rPr>
        <w:t>Hladký</w:t>
      </w:r>
      <w:proofErr w:type="spellEnd"/>
      <w:r>
        <w:rPr>
          <w:sz w:val="22"/>
        </w:rPr>
        <w:t xml:space="preserve">, geb. am 16.04.1976, wohnhaft in </w:t>
      </w:r>
      <w:proofErr w:type="spellStart"/>
      <w:r>
        <w:rPr>
          <w:sz w:val="22"/>
        </w:rPr>
        <w:t>Šlechtitelská</w:t>
      </w:r>
      <w:proofErr w:type="spellEnd"/>
      <w:r>
        <w:rPr>
          <w:sz w:val="22"/>
        </w:rPr>
        <w:t xml:space="preserve"> 992, </w:t>
      </w:r>
      <w:proofErr w:type="spellStart"/>
      <w:r>
        <w:rPr>
          <w:sz w:val="22"/>
        </w:rPr>
        <w:t>Klánovice</w:t>
      </w:r>
      <w:proofErr w:type="spellEnd"/>
      <w:r>
        <w:rPr>
          <w:sz w:val="22"/>
        </w:rPr>
        <w:t xml:space="preserve">, 190 14 Praha 9, der 21 </w:t>
      </w:r>
      <w:proofErr w:type="spellStart"/>
      <w:r>
        <w:rPr>
          <w:sz w:val="22"/>
        </w:rPr>
        <w:t>Stk</w:t>
      </w:r>
      <w:proofErr w:type="spellEnd"/>
      <w:r>
        <w:rPr>
          <w:sz w:val="22"/>
        </w:rPr>
        <w:t>. Gründeraktien der Gesellschaft gezeichnet hat, die einem Anteil von 35</w:t>
      </w:r>
      <w:r w:rsidR="003E2340">
        <w:rPr>
          <w:sz w:val="22"/>
        </w:rPr>
        <w:t> </w:t>
      </w:r>
      <w:r>
        <w:rPr>
          <w:sz w:val="22"/>
        </w:rPr>
        <w:t>% am gezeichneten Grundkapital der Gesellschaft entsprechen,</w:t>
      </w:r>
    </w:p>
    <w:p w14:paraId="7FA6E5BF" w14:textId="77777777" w:rsidR="00040DF2" w:rsidRDefault="00040DF2" w:rsidP="00040DF2">
      <w:pPr>
        <w:jc w:val="both"/>
        <w:rPr>
          <w:sz w:val="22"/>
          <w:szCs w:val="22"/>
        </w:rPr>
      </w:pPr>
    </w:p>
    <w:p w14:paraId="73A09B0B" w14:textId="77777777" w:rsidR="00040DF2" w:rsidRDefault="00040DF2" w:rsidP="00040DF2">
      <w:pPr>
        <w:jc w:val="both"/>
        <w:rPr>
          <w:sz w:val="22"/>
          <w:szCs w:val="22"/>
        </w:rPr>
      </w:pPr>
    </w:p>
    <w:p w14:paraId="6FCF833F" w14:textId="40C8D503" w:rsidR="002800E3" w:rsidRPr="00AD1EE2" w:rsidRDefault="002800E3" w:rsidP="00040DF2">
      <w:pPr>
        <w:jc w:val="both"/>
        <w:rPr>
          <w:sz w:val="22"/>
          <w:szCs w:val="22"/>
        </w:rPr>
      </w:pPr>
      <w:r>
        <w:rPr>
          <w:sz w:val="22"/>
        </w:rPr>
        <w:t>(im Folgenden „</w:t>
      </w:r>
      <w:r>
        <w:rPr>
          <w:b/>
          <w:sz w:val="22"/>
        </w:rPr>
        <w:t>Beherrschende</w:t>
      </w:r>
      <w:r>
        <w:rPr>
          <w:sz w:val="22"/>
        </w:rPr>
        <w:t xml:space="preserve"> </w:t>
      </w:r>
      <w:r>
        <w:rPr>
          <w:b/>
          <w:sz w:val="22"/>
        </w:rPr>
        <w:t>Personen</w:t>
      </w:r>
      <w:r>
        <w:rPr>
          <w:sz w:val="22"/>
        </w:rPr>
        <w:t>“). Die Gesellschaft ist eine Aktiengesellschaft mit variablem Grundkapital und wird durch das gesetzlich vorgesehene Gesellschaftsorgan verwaltet. Das Grundkapital der Gesellschaft entspricht ihrem Fondskapital. Die Höhe des Fondskapitals ist variabel. Im Handelsregister ist als Grundkapital der Gesellschaft der durch die Zeichnung der Gründeraktien eingebrachte Betrag (gezeichnetes Grundkapital) eingetragen. 100 % der Gründeraktien der Gesellschaft wurden von den beherrschenden Personen gezeichnet.</w:t>
      </w:r>
    </w:p>
    <w:p w14:paraId="1CA79672" w14:textId="77777777" w:rsidR="00040DF2" w:rsidRDefault="00040DF2" w:rsidP="00040DF2">
      <w:pPr>
        <w:jc w:val="both"/>
        <w:rPr>
          <w:sz w:val="22"/>
          <w:szCs w:val="22"/>
        </w:rPr>
      </w:pPr>
    </w:p>
    <w:p w14:paraId="06EAF5CF" w14:textId="7368F5B8" w:rsidR="002800E3" w:rsidRPr="00AD1EE2" w:rsidRDefault="002800E3" w:rsidP="00040DF2">
      <w:pPr>
        <w:jc w:val="both"/>
        <w:rPr>
          <w:sz w:val="22"/>
          <w:szCs w:val="22"/>
        </w:rPr>
      </w:pPr>
      <w:r>
        <w:rPr>
          <w:sz w:val="22"/>
        </w:rPr>
        <w:t>Die Gesellschaft ist gegenüber den von den beherrschenden Personen beherrschten Personen unabhängig, da ihre Geschäftstätigkeit darin besteht, Geldmittel oder in Geld bewertbare Gegenstände von mehreren qualifizierten Anlegern durch die Ausgabe von Beteiligungspapieren oder dadurch, dass die qualifizierten Anleger zu ihren Gesellschaftern werden, aufzunehmen und die aufgenommenen Geldmittel oder in Geld bewertbare Gegenstände auf der Grundlage einer festgelegten Anlagestrategie, die in der Regel auf dem Grundsatz der Risikostreuung beruht, gemeinsam zugunsten dieser qualifizierten Anleger zu investieren und diese Vermögenswerte weiter zu verwalten.</w:t>
      </w:r>
    </w:p>
    <w:p w14:paraId="0778C2AC" w14:textId="77777777" w:rsidR="00040DF2" w:rsidRDefault="00040DF2" w:rsidP="00040DF2">
      <w:pPr>
        <w:jc w:val="both"/>
        <w:rPr>
          <w:sz w:val="22"/>
          <w:szCs w:val="22"/>
        </w:rPr>
      </w:pPr>
    </w:p>
    <w:p w14:paraId="709C3C81" w14:textId="77777777" w:rsidR="00040DF2" w:rsidRDefault="00040DF2" w:rsidP="00040DF2">
      <w:pPr>
        <w:jc w:val="both"/>
        <w:rPr>
          <w:sz w:val="22"/>
          <w:szCs w:val="22"/>
        </w:rPr>
      </w:pPr>
    </w:p>
    <w:p w14:paraId="7EE4CBA7" w14:textId="3ED0F037" w:rsidR="002800E3" w:rsidRPr="00040DF2" w:rsidRDefault="002800E3" w:rsidP="00040DF2">
      <w:pPr>
        <w:jc w:val="both"/>
        <w:rPr>
          <w:b/>
          <w:bCs/>
          <w:color w:val="009DA8"/>
          <w:sz w:val="22"/>
          <w:szCs w:val="22"/>
        </w:rPr>
      </w:pPr>
      <w:r>
        <w:rPr>
          <w:b/>
          <w:color w:val="009DA8"/>
          <w:sz w:val="22"/>
        </w:rPr>
        <w:t>Struktur der Beziehungen zwischen den Personen</w:t>
      </w:r>
    </w:p>
    <w:p w14:paraId="45B48557" w14:textId="77777777" w:rsidR="00040DF2" w:rsidRDefault="00040DF2" w:rsidP="00040DF2">
      <w:pPr>
        <w:jc w:val="both"/>
        <w:rPr>
          <w:sz w:val="22"/>
          <w:szCs w:val="22"/>
        </w:rPr>
      </w:pPr>
    </w:p>
    <w:p w14:paraId="2A65D47C" w14:textId="3AEE2BCD" w:rsidR="002800E3" w:rsidRPr="00AD1EE2" w:rsidRDefault="002800E3" w:rsidP="00040DF2">
      <w:pPr>
        <w:jc w:val="both"/>
        <w:rPr>
          <w:sz w:val="22"/>
          <w:szCs w:val="22"/>
        </w:rPr>
      </w:pPr>
      <w:r>
        <w:rPr>
          <w:sz w:val="22"/>
        </w:rPr>
        <w:t>Die Struktur der Beziehungen zwischen den beherrschenden Personen und der Gesellschaft sowie zwischen der Gesellschaft und den von der beherrschenden Person beherrschten Personen ist wie folgt:</w:t>
      </w:r>
    </w:p>
    <w:p w14:paraId="547F83BF" w14:textId="77777777" w:rsidR="00040DF2" w:rsidRDefault="00040DF2" w:rsidP="00040DF2">
      <w:pPr>
        <w:jc w:val="both"/>
        <w:rPr>
          <w:sz w:val="22"/>
          <w:szCs w:val="22"/>
        </w:rPr>
      </w:pPr>
      <w:r>
        <w:br w:type="page"/>
      </w:r>
    </w:p>
    <w:p w14:paraId="65A1424A" w14:textId="180F9BD0" w:rsidR="001E51C9" w:rsidRDefault="00CA4300" w:rsidP="00040DF2">
      <w:pPr>
        <w:jc w:val="both"/>
        <w:rPr>
          <w:sz w:val="22"/>
          <w:szCs w:val="22"/>
        </w:rPr>
      </w:pPr>
      <w:r>
        <w:rPr>
          <w:noProof/>
          <w:sz w:val="22"/>
        </w:rPr>
        <w:lastRenderedPageBreak/>
        <mc:AlternateContent>
          <mc:Choice Requires="wps">
            <w:drawing>
              <wp:anchor distT="0" distB="0" distL="114300" distR="114300" simplePos="0" relativeHeight="251666432" behindDoc="0" locked="0" layoutInCell="1" allowOverlap="1" wp14:anchorId="153981AB" wp14:editId="24CBFC32">
                <wp:simplePos x="0" y="0"/>
                <wp:positionH relativeFrom="column">
                  <wp:posOffset>1118235</wp:posOffset>
                </wp:positionH>
                <wp:positionV relativeFrom="paragraph">
                  <wp:posOffset>57150</wp:posOffset>
                </wp:positionV>
                <wp:extent cx="826135" cy="416560"/>
                <wp:effectExtent l="0" t="0" r="164465" b="173990"/>
                <wp:wrapNone/>
                <wp:docPr id="29" name="Bublinový popisek: čárový 29"/>
                <wp:cNvGraphicFramePr/>
                <a:graphic xmlns:a="http://schemas.openxmlformats.org/drawingml/2006/main">
                  <a:graphicData uri="http://schemas.microsoft.com/office/word/2010/wordprocessingShape">
                    <wps:wsp>
                      <wps:cNvSpPr/>
                      <wps:spPr>
                        <a:xfrm>
                          <a:off x="0" y="0"/>
                          <a:ext cx="826135" cy="416560"/>
                        </a:xfrm>
                        <a:prstGeom prst="borderCallout1">
                          <a:avLst>
                            <a:gd name="adj1" fmla="val 102694"/>
                            <a:gd name="adj2" fmla="val 101466"/>
                            <a:gd name="adj3" fmla="val 132176"/>
                            <a:gd name="adj4" fmla="val 11751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1CE20" w14:textId="1A4D066F" w:rsidR="00CA4300" w:rsidRDefault="00CA4300" w:rsidP="00CA4300">
                            <w:pPr>
                              <w:jc w:val="center"/>
                              <w:rPr>
                                <w:color w:val="000000" w:themeColor="text1"/>
                                <w:sz w:val="16"/>
                                <w:szCs w:val="16"/>
                                <w14:textOutline w14:w="9525" w14:cap="rnd" w14:cmpd="sng" w14:algn="ctr">
                                  <w14:noFill/>
                                  <w14:prstDash w14:val="solid"/>
                                  <w14:bevel/>
                                </w14:textOutline>
                              </w:rPr>
                            </w:pPr>
                            <w:proofErr w:type="spellStart"/>
                            <w:r>
                              <w:rPr>
                                <w:color w:val="000000" w:themeColor="text1"/>
                                <w:sz w:val="16"/>
                                <w14:textOutline w14:w="9525" w14:cap="rnd" w14:cmpd="sng" w14:algn="ctr">
                                  <w14:noFill/>
                                  <w14:prstDash w14:val="solid"/>
                                  <w14:bevel/>
                                </w14:textOutline>
                              </w:rPr>
                              <w:t>Judr</w:t>
                            </w:r>
                            <w:proofErr w:type="spellEnd"/>
                            <w:r>
                              <w:rPr>
                                <w:color w:val="000000" w:themeColor="text1"/>
                                <w:sz w:val="16"/>
                                <w14:textOutline w14:w="9525" w14:cap="rnd" w14:cmpd="sng" w14:algn="ctr">
                                  <w14:noFill/>
                                  <w14:prstDash w14:val="solid"/>
                                  <w14:bevel/>
                                </w14:textOutline>
                              </w:rPr>
                              <w:t xml:space="preserve">. </w:t>
                            </w:r>
                            <w:proofErr w:type="spellStart"/>
                            <w:r>
                              <w:rPr>
                                <w:color w:val="000000" w:themeColor="text1"/>
                                <w:sz w:val="16"/>
                                <w14:textOutline w14:w="9525" w14:cap="rnd" w14:cmpd="sng" w14:algn="ctr">
                                  <w14:noFill/>
                                  <w14:prstDash w14:val="solid"/>
                                  <w14:bevel/>
                                </w14:textOutline>
                              </w:rPr>
                              <w:t>Zdeněk</w:t>
                            </w:r>
                            <w:proofErr w:type="spellEnd"/>
                            <w:r>
                              <w:rPr>
                                <w:color w:val="000000" w:themeColor="text1"/>
                                <w:sz w:val="16"/>
                                <w14:textOutline w14:w="9525" w14:cap="rnd" w14:cmpd="sng" w14:algn="ctr">
                                  <w14:noFill/>
                                  <w14:prstDash w14:val="solid"/>
                                  <w14:bevel/>
                                </w14:textOutline>
                              </w:rPr>
                              <w:t xml:space="preserve"> </w:t>
                            </w:r>
                            <w:proofErr w:type="spellStart"/>
                            <w:r>
                              <w:rPr>
                                <w:color w:val="000000" w:themeColor="text1"/>
                                <w:sz w:val="16"/>
                                <w14:textOutline w14:w="9525" w14:cap="rnd" w14:cmpd="sng" w14:algn="ctr">
                                  <w14:noFill/>
                                  <w14:prstDash w14:val="solid"/>
                                  <w14:bevel/>
                                </w14:textOutline>
                              </w:rPr>
                              <w:t>Prázdný</w:t>
                            </w:r>
                            <w:proofErr w:type="spellEnd"/>
                          </w:p>
                          <w:p w14:paraId="17FC9D94" w14:textId="4EC4CAFF" w:rsidR="00CA4300" w:rsidRP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35 %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3981A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Bublinový popisek: čárový 29" o:spid="_x0000_s1026" type="#_x0000_t47" style="position:absolute;left:0;text-align:left;margin-left:88.05pt;margin-top:4.5pt;width:65.05pt;height:3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" adj="25382,28550,21917,22182" filled="f" strokecolor="black [3213]" strokeweight="1.5pt">
                <v:textbox inset="0,0,0,0">
                  <w:txbxContent>
                    <w:p w14:paraId="7C51CE20" w14:textId="1A4D066F" w:rsid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 xml:space="preserve">Judr.</w:t>
                      </w:r>
                      <w:r>
                        <w:rPr>
                          <w:color w:val="000000" w:themeColor="text1"/>
                          <w:sz w:val="16"/>
                          <w14:textOutline w14:w="9525" w14:cap="rnd" w14:cmpd="sng" w14:algn="ctr">
                            <w14:noFill/>
                            <w14:prstDash w14:val="solid"/>
                            <w14:bevel/>
                          </w14:textOutline>
                        </w:rPr>
                        <w:t xml:space="preserve"> </w:t>
                      </w:r>
                      <w:r>
                        <w:rPr>
                          <w:color w:val="000000" w:themeColor="text1"/>
                          <w:sz w:val="16"/>
                          <w14:textOutline w14:w="9525" w14:cap="rnd" w14:cmpd="sng" w14:algn="ctr">
                            <w14:noFill/>
                            <w14:prstDash w14:val="solid"/>
                            <w14:bevel/>
                          </w14:textOutline>
                        </w:rPr>
                        <w:t xml:space="preserve">Zdeněk Prázdný</w:t>
                      </w:r>
                    </w:p>
                    <w:p w14:paraId="17FC9D94" w14:textId="4EC4CAFF" w:rsidR="00CA4300" w:rsidRP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 xml:space="preserve">35 %</w:t>
                      </w:r>
                    </w:p>
                  </w:txbxContent>
                </v:textbox>
                <o:callout v:ext="edit" minusx="t" minusy="t"/>
              </v:shape>
            </w:pict>
          </mc:Fallback>
        </mc:AlternateContent>
      </w:r>
      <w:r>
        <w:rPr>
          <w:noProof/>
          <w:sz w:val="22"/>
        </w:rPr>
        <mc:AlternateContent>
          <mc:Choice Requires="wps">
            <w:drawing>
              <wp:anchor distT="0" distB="0" distL="114300" distR="114300" simplePos="0" relativeHeight="251670528" behindDoc="0" locked="0" layoutInCell="1" allowOverlap="1" wp14:anchorId="61BDBF39" wp14:editId="5D5DA7EE">
                <wp:simplePos x="0" y="0"/>
                <wp:positionH relativeFrom="column">
                  <wp:posOffset>2080057</wp:posOffset>
                </wp:positionH>
                <wp:positionV relativeFrom="paragraph">
                  <wp:posOffset>42824</wp:posOffset>
                </wp:positionV>
                <wp:extent cx="826135" cy="416560"/>
                <wp:effectExtent l="0" t="0" r="12065" b="173990"/>
                <wp:wrapNone/>
                <wp:docPr id="31" name="Bublinový popisek: čárový 31"/>
                <wp:cNvGraphicFramePr/>
                <a:graphic xmlns:a="http://schemas.openxmlformats.org/drawingml/2006/main">
                  <a:graphicData uri="http://schemas.microsoft.com/office/word/2010/wordprocessingShape">
                    <wps:wsp>
                      <wps:cNvSpPr/>
                      <wps:spPr>
                        <a:xfrm>
                          <a:off x="0" y="0"/>
                          <a:ext cx="826135" cy="416560"/>
                        </a:xfrm>
                        <a:prstGeom prst="borderCallout1">
                          <a:avLst>
                            <a:gd name="adj1" fmla="val 100938"/>
                            <a:gd name="adj2" fmla="val 50109"/>
                            <a:gd name="adj3" fmla="val 135688"/>
                            <a:gd name="adj4" fmla="val 5110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82508" w14:textId="51A7A12D" w:rsid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 xml:space="preserve">Roman </w:t>
                            </w:r>
                            <w:proofErr w:type="spellStart"/>
                            <w:r>
                              <w:rPr>
                                <w:color w:val="000000" w:themeColor="text1"/>
                                <w:sz w:val="16"/>
                                <w14:textOutline w14:w="9525" w14:cap="rnd" w14:cmpd="sng" w14:algn="ctr">
                                  <w14:noFill/>
                                  <w14:prstDash w14:val="solid"/>
                                  <w14:bevel/>
                                </w14:textOutline>
                              </w:rPr>
                              <w:t>Latuske</w:t>
                            </w:r>
                            <w:proofErr w:type="spellEnd"/>
                          </w:p>
                          <w:p w14:paraId="7B2168B0" w14:textId="58C39285" w:rsidR="00CA4300" w:rsidRP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30 %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BDBF39" id="Bublinový popisek: čárový 31" o:spid="_x0000_s1027" type="#_x0000_t47" style="position:absolute;left:0;text-align:left;margin-left:163.8pt;margin-top:3.35pt;width:65.05pt;height:32.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" adj="11038,29309,10824,21803" filled="f" strokecolor="black [3213]" strokeweight="1.5pt">
                <v:textbox inset="0,0,0,0">
                  <w:txbxContent>
                    <w:p w14:paraId="0C282508" w14:textId="51A7A12D" w:rsid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 xml:space="preserve">Roman Latuske</w:t>
                      </w:r>
                    </w:p>
                    <w:p w14:paraId="7B2168B0" w14:textId="58C39285" w:rsidR="00CA4300" w:rsidRP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 xml:space="preserve">30 %</w:t>
                      </w:r>
                    </w:p>
                  </w:txbxContent>
                </v:textbox>
                <o:callout v:ext="edit" minusx="t" minusy="t"/>
              </v:shape>
            </w:pict>
          </mc:Fallback>
        </mc:AlternateContent>
      </w:r>
      <w:r>
        <w:rPr>
          <w:noProof/>
          <w:sz w:val="22"/>
        </w:rPr>
        <mc:AlternateContent>
          <mc:Choice Requires="wps">
            <w:drawing>
              <wp:anchor distT="0" distB="0" distL="114300" distR="114300" simplePos="0" relativeHeight="251668480" behindDoc="0" locked="0" layoutInCell="1" allowOverlap="1" wp14:anchorId="4486309E" wp14:editId="29D94B30">
                <wp:simplePos x="0" y="0"/>
                <wp:positionH relativeFrom="column">
                  <wp:posOffset>3089554</wp:posOffset>
                </wp:positionH>
                <wp:positionV relativeFrom="paragraph">
                  <wp:posOffset>42824</wp:posOffset>
                </wp:positionV>
                <wp:extent cx="826135" cy="416560"/>
                <wp:effectExtent l="171450" t="0" r="12065" b="173990"/>
                <wp:wrapNone/>
                <wp:docPr id="30" name="Bublinový popisek: čárový 30"/>
                <wp:cNvGraphicFramePr/>
                <a:graphic xmlns:a="http://schemas.openxmlformats.org/drawingml/2006/main">
                  <a:graphicData uri="http://schemas.microsoft.com/office/word/2010/wordprocessingShape">
                    <wps:wsp>
                      <wps:cNvSpPr/>
                      <wps:spPr>
                        <a:xfrm>
                          <a:off x="0" y="0"/>
                          <a:ext cx="826135" cy="416560"/>
                        </a:xfrm>
                        <a:prstGeom prst="borderCallout1">
                          <a:avLst>
                            <a:gd name="adj1" fmla="val 97426"/>
                            <a:gd name="adj2" fmla="val 2293"/>
                            <a:gd name="adj3" fmla="val 135688"/>
                            <a:gd name="adj4" fmla="val -1973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6344E" w14:textId="01F3709E" w:rsidR="00CA4300" w:rsidRDefault="00CA4300" w:rsidP="00CA4300">
                            <w:pPr>
                              <w:jc w:val="center"/>
                              <w:rPr>
                                <w:color w:val="000000" w:themeColor="text1"/>
                                <w:sz w:val="16"/>
                                <w:szCs w:val="16"/>
                                <w14:textOutline w14:w="9525" w14:cap="rnd" w14:cmpd="sng" w14:algn="ctr">
                                  <w14:noFill/>
                                  <w14:prstDash w14:val="solid"/>
                                  <w14:bevel/>
                                </w14:textOutline>
                              </w:rPr>
                            </w:pPr>
                            <w:proofErr w:type="spellStart"/>
                            <w:r>
                              <w:rPr>
                                <w:color w:val="000000" w:themeColor="text1"/>
                                <w:sz w:val="16"/>
                                <w14:textOutline w14:w="9525" w14:cap="rnd" w14:cmpd="sng" w14:algn="ctr">
                                  <w14:noFill/>
                                  <w14:prstDash w14:val="solid"/>
                                  <w14:bevel/>
                                </w14:textOutline>
                              </w:rPr>
                              <w:t>Mgr</w:t>
                            </w:r>
                            <w:proofErr w:type="spellEnd"/>
                            <w:r>
                              <w:rPr>
                                <w:color w:val="000000" w:themeColor="text1"/>
                                <w:sz w:val="16"/>
                                <w14:textOutline w14:w="9525" w14:cap="rnd" w14:cmpd="sng" w14:algn="ctr">
                                  <w14:noFill/>
                                  <w14:prstDash w14:val="solid"/>
                                  <w14:bevel/>
                                </w14:textOutline>
                              </w:rPr>
                              <w:t xml:space="preserve">. Radek </w:t>
                            </w:r>
                            <w:proofErr w:type="spellStart"/>
                            <w:r>
                              <w:rPr>
                                <w:color w:val="000000" w:themeColor="text1"/>
                                <w:sz w:val="16"/>
                                <w14:textOutline w14:w="9525" w14:cap="rnd" w14:cmpd="sng" w14:algn="ctr">
                                  <w14:noFill/>
                                  <w14:prstDash w14:val="solid"/>
                                  <w14:bevel/>
                                </w14:textOutline>
                              </w:rPr>
                              <w:t>Hladký</w:t>
                            </w:r>
                            <w:proofErr w:type="spellEnd"/>
                          </w:p>
                          <w:p w14:paraId="1751822F" w14:textId="77777777" w:rsidR="00CA4300" w:rsidRP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35 %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86309E" id="Bublinový popisek: čárový 30" o:spid="_x0000_s1028" type="#_x0000_t47" style="position:absolute;left:0;text-align:left;margin-left:243.25pt;margin-top:3.35pt;width:65.05pt;height:32.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" adj="-4263,29309,495,21044" filled="f" strokecolor="black [3213]" strokeweight="1.5pt">
                <v:textbox inset="0,0,0,0">
                  <w:txbxContent>
                    <w:p w14:paraId="6346344E" w14:textId="01F3709E" w:rsid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 xml:space="preserve">Mgr.</w:t>
                      </w:r>
                      <w:r>
                        <w:rPr>
                          <w:color w:val="000000" w:themeColor="text1"/>
                          <w:sz w:val="16"/>
                          <w14:textOutline w14:w="9525" w14:cap="rnd" w14:cmpd="sng" w14:algn="ctr">
                            <w14:noFill/>
                            <w14:prstDash w14:val="solid"/>
                            <w14:bevel/>
                          </w14:textOutline>
                        </w:rPr>
                        <w:t xml:space="preserve"> </w:t>
                      </w:r>
                      <w:r>
                        <w:rPr>
                          <w:color w:val="000000" w:themeColor="text1"/>
                          <w:sz w:val="16"/>
                          <w14:textOutline w14:w="9525" w14:cap="rnd" w14:cmpd="sng" w14:algn="ctr">
                            <w14:noFill/>
                            <w14:prstDash w14:val="solid"/>
                            <w14:bevel/>
                          </w14:textOutline>
                        </w:rPr>
                        <w:t xml:space="preserve">Radek Hladký</w:t>
                      </w:r>
                    </w:p>
                    <w:p w14:paraId="1751822F" w14:textId="77777777" w:rsidR="00CA4300" w:rsidRPr="00CA4300" w:rsidRDefault="00CA4300" w:rsidP="00CA4300">
                      <w:pPr>
                        <w:jc w:val="center"/>
                        <w:rPr>
                          <w:color w:val="000000" w:themeColor="text1"/>
                          <w:sz w:val="16"/>
                          <w:szCs w:val="16"/>
                          <w14:textOutline w14:w="9525" w14:cap="rnd" w14:cmpd="sng" w14:algn="ctr">
                            <w14:noFill/>
                            <w14:prstDash w14:val="solid"/>
                            <w14:bevel/>
                          </w14:textOutline>
                        </w:rPr>
                      </w:pPr>
                      <w:r>
                        <w:rPr>
                          <w:color w:val="000000" w:themeColor="text1"/>
                          <w:sz w:val="16"/>
                          <w14:textOutline w14:w="9525" w14:cap="rnd" w14:cmpd="sng" w14:algn="ctr">
                            <w14:noFill/>
                            <w14:prstDash w14:val="solid"/>
                            <w14:bevel/>
                          </w14:textOutline>
                        </w:rPr>
                        <w:t xml:space="preserve">35 %</w:t>
                      </w:r>
                    </w:p>
                  </w:txbxContent>
                </v:textbox>
                <o:callout v:ext="edit" minusy="t"/>
              </v:shape>
            </w:pict>
          </mc:Fallback>
        </mc:AlternateContent>
      </w:r>
    </w:p>
    <w:p w14:paraId="1CB6D47F" w14:textId="485B496A" w:rsidR="001E51C9" w:rsidRDefault="001E51C9" w:rsidP="00040DF2">
      <w:pPr>
        <w:jc w:val="both"/>
        <w:rPr>
          <w:sz w:val="22"/>
          <w:szCs w:val="22"/>
        </w:rPr>
      </w:pPr>
    </w:p>
    <w:p w14:paraId="5E63B15C" w14:textId="099B3249" w:rsidR="001E51C9" w:rsidRDefault="001E51C9" w:rsidP="00040DF2">
      <w:pPr>
        <w:jc w:val="both"/>
        <w:rPr>
          <w:sz w:val="22"/>
          <w:szCs w:val="22"/>
        </w:rPr>
      </w:pPr>
    </w:p>
    <w:p w14:paraId="2F2DB1E4" w14:textId="0DD840A3" w:rsidR="001E51C9" w:rsidRDefault="00CA4300" w:rsidP="00040DF2">
      <w:pPr>
        <w:jc w:val="both"/>
        <w:rPr>
          <w:sz w:val="22"/>
          <w:szCs w:val="22"/>
        </w:rPr>
      </w:pPr>
      <w:r>
        <w:rPr>
          <w:noProof/>
          <w:sz w:val="22"/>
        </w:rPr>
        <mc:AlternateContent>
          <mc:Choice Requires="wps">
            <w:drawing>
              <wp:anchor distT="0" distB="0" distL="114300" distR="114300" simplePos="0" relativeHeight="251671552" behindDoc="0" locked="0" layoutInCell="1" allowOverlap="1" wp14:anchorId="716A96DD" wp14:editId="62372278">
                <wp:simplePos x="0" y="0"/>
                <wp:positionH relativeFrom="margin">
                  <wp:posOffset>1381303</wp:posOffset>
                </wp:positionH>
                <wp:positionV relativeFrom="paragraph">
                  <wp:posOffset>116306</wp:posOffset>
                </wp:positionV>
                <wp:extent cx="2260397" cy="424281"/>
                <wp:effectExtent l="0" t="0" r="26035" b="13970"/>
                <wp:wrapNone/>
                <wp:docPr id="32" name="Obdélník 32"/>
                <wp:cNvGraphicFramePr/>
                <a:graphic xmlns:a="http://schemas.openxmlformats.org/drawingml/2006/main">
                  <a:graphicData uri="http://schemas.microsoft.com/office/word/2010/wordprocessingShape">
                    <wps:wsp>
                      <wps:cNvSpPr/>
                      <wps:spPr>
                        <a:xfrm>
                          <a:off x="0" y="0"/>
                          <a:ext cx="2260397" cy="424281"/>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3004E" w14:textId="5E92D974" w:rsidR="00CA4300" w:rsidRPr="000F3A73" w:rsidRDefault="00CA4300" w:rsidP="00CA4300">
                            <w:pPr>
                              <w:jc w:val="center"/>
                              <w:rPr>
                                <w:color w:val="000000" w:themeColor="text1"/>
                                <w:sz w:val="24"/>
                                <w:szCs w:val="24"/>
                                <w:lang w:val="en-GB"/>
                              </w:rPr>
                            </w:pPr>
                            <w:r w:rsidRPr="000F3A73">
                              <w:rPr>
                                <w:color w:val="000000" w:themeColor="text1"/>
                                <w:sz w:val="24"/>
                                <w:lang w:val="en-GB"/>
                              </w:rPr>
                              <w:t xml:space="preserve">ZDR Investments SICAV </w:t>
                            </w:r>
                            <w:proofErr w:type="spellStart"/>
                            <w:r w:rsidRPr="000F3A73">
                              <w:rPr>
                                <w:color w:val="000000" w:themeColor="text1"/>
                                <w:sz w:val="24"/>
                                <w:lang w:val="en-GB"/>
                              </w:rPr>
                              <w: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A96DD" id="Obdélník 32" o:spid="_x0000_s1029" style="position:absolute;left:0;text-align:left;margin-left:108.75pt;margin-top:9.15pt;width:178pt;height:33.4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" fillcolor="white [3212]" strokecolor="black [3213]" strokeweight="1.5pt">
                <v:textbox>
                  <w:txbxContent>
                    <w:p w14:paraId="1083004E" w14:textId="5E92D974" w:rsidR="00CA4300" w:rsidRPr="000F3A73" w:rsidRDefault="00CA4300" w:rsidP="00CA4300">
                      <w:pPr>
                        <w:jc w:val="center"/>
                        <w:rPr>
                          <w:color w:val="000000" w:themeColor="text1"/>
                          <w:sz w:val="24"/>
                          <w:szCs w:val="24"/>
                          <w:lang w:val="en-GB"/>
                        </w:rPr>
                      </w:pPr>
                      <w:r w:rsidRPr="000F3A73">
                        <w:rPr>
                          <w:color w:val="000000" w:themeColor="text1"/>
                          <w:sz w:val="24"/>
                          <w:lang w:val="en-GB"/>
                        </w:rPr>
                        <w:t xml:space="preserve">ZDR Investments SICAV </w:t>
                      </w:r>
                      <w:proofErr w:type="spellStart"/>
                      <w:r w:rsidRPr="000F3A73">
                        <w:rPr>
                          <w:color w:val="000000" w:themeColor="text1"/>
                          <w:sz w:val="24"/>
                          <w:lang w:val="en-GB"/>
                        </w:rPr>
                        <w:t>a.s.</w:t>
                      </w:r>
                      <w:proofErr w:type="spellEnd"/>
                    </w:p>
                  </w:txbxContent>
                </v:textbox>
                <w10:wrap anchorx="margin"/>
              </v:rect>
            </w:pict>
          </mc:Fallback>
        </mc:AlternateContent>
      </w:r>
    </w:p>
    <w:p w14:paraId="47498DDE" w14:textId="09E022B9" w:rsidR="001E51C9" w:rsidRDefault="001E51C9" w:rsidP="00040DF2">
      <w:pPr>
        <w:jc w:val="both"/>
        <w:rPr>
          <w:sz w:val="22"/>
          <w:szCs w:val="22"/>
        </w:rPr>
      </w:pPr>
    </w:p>
    <w:p w14:paraId="4CB16222" w14:textId="4934E8EA" w:rsidR="001E51C9" w:rsidRDefault="001E51C9" w:rsidP="00040DF2">
      <w:pPr>
        <w:jc w:val="both"/>
        <w:rPr>
          <w:sz w:val="22"/>
          <w:szCs w:val="22"/>
        </w:rPr>
      </w:pPr>
    </w:p>
    <w:p w14:paraId="656A025E" w14:textId="06032276" w:rsidR="001E51C9" w:rsidRDefault="001E51C9" w:rsidP="00040DF2">
      <w:pPr>
        <w:jc w:val="both"/>
        <w:rPr>
          <w:sz w:val="22"/>
          <w:szCs w:val="22"/>
        </w:rPr>
      </w:pPr>
    </w:p>
    <w:p w14:paraId="5786C56C" w14:textId="3496F54A" w:rsidR="001E51C9" w:rsidRDefault="001E51C9" w:rsidP="00040DF2">
      <w:pPr>
        <w:jc w:val="both"/>
        <w:rPr>
          <w:sz w:val="22"/>
          <w:szCs w:val="22"/>
        </w:rPr>
      </w:pPr>
    </w:p>
    <w:p w14:paraId="1F95549E" w14:textId="22D9ED42" w:rsidR="002800E3" w:rsidRPr="007A09F7" w:rsidRDefault="002800E3" w:rsidP="007A09F7">
      <w:pPr>
        <w:spacing w:before="120"/>
        <w:jc w:val="both"/>
        <w:rPr>
          <w:b/>
          <w:bCs/>
          <w:color w:val="009DA8"/>
          <w:sz w:val="22"/>
          <w:szCs w:val="22"/>
        </w:rPr>
      </w:pPr>
      <w:r>
        <w:rPr>
          <w:b/>
          <w:color w:val="009DA8"/>
          <w:sz w:val="22"/>
        </w:rPr>
        <w:t>Personen außerhalb der Gesellschaft, die von den beherrschenden Personen beherrscht werden</w:t>
      </w:r>
    </w:p>
    <w:p w14:paraId="732F8815" w14:textId="77777777" w:rsidR="007A09F7" w:rsidRDefault="007A09F7" w:rsidP="00040DF2">
      <w:pPr>
        <w:jc w:val="both"/>
        <w:rPr>
          <w:sz w:val="22"/>
          <w:szCs w:val="22"/>
        </w:rPr>
      </w:pPr>
    </w:p>
    <w:p w14:paraId="3EDBF462" w14:textId="2D9CCB49" w:rsidR="002800E3" w:rsidRPr="00AD1EE2" w:rsidRDefault="002800E3" w:rsidP="00040DF2">
      <w:pPr>
        <w:jc w:val="both"/>
        <w:rPr>
          <w:sz w:val="22"/>
          <w:szCs w:val="22"/>
        </w:rPr>
      </w:pPr>
      <w:r>
        <w:rPr>
          <w:sz w:val="22"/>
        </w:rPr>
        <w:t>Außer der Gesellschaft bestehen keine Personen, die von den beherrschenden Personen beherrscht werden.</w:t>
      </w:r>
    </w:p>
    <w:p w14:paraId="53874A0A" w14:textId="77777777" w:rsidR="007A09F7" w:rsidRDefault="007A09F7" w:rsidP="00040DF2">
      <w:pPr>
        <w:jc w:val="both"/>
        <w:rPr>
          <w:sz w:val="22"/>
          <w:szCs w:val="22"/>
        </w:rPr>
      </w:pPr>
    </w:p>
    <w:p w14:paraId="173B3C47" w14:textId="0184824C" w:rsidR="002800E3" w:rsidRPr="007A09F7" w:rsidRDefault="002800E3" w:rsidP="00040DF2">
      <w:pPr>
        <w:jc w:val="both"/>
        <w:rPr>
          <w:b/>
          <w:bCs/>
          <w:color w:val="009DA8"/>
          <w:sz w:val="22"/>
          <w:szCs w:val="22"/>
        </w:rPr>
      </w:pPr>
      <w:r>
        <w:rPr>
          <w:b/>
          <w:color w:val="009DA8"/>
          <w:sz w:val="22"/>
        </w:rPr>
        <w:t>Überblick über Handlungen</w:t>
      </w:r>
    </w:p>
    <w:p w14:paraId="417F9EE4" w14:textId="77777777" w:rsidR="007A09F7" w:rsidRDefault="007A09F7" w:rsidP="00040DF2">
      <w:pPr>
        <w:jc w:val="both"/>
        <w:rPr>
          <w:sz w:val="22"/>
          <w:szCs w:val="22"/>
        </w:rPr>
      </w:pPr>
    </w:p>
    <w:p w14:paraId="5684401D" w14:textId="083056D3" w:rsidR="002800E3" w:rsidRPr="00AD1EE2" w:rsidRDefault="002800E3" w:rsidP="00040DF2">
      <w:pPr>
        <w:jc w:val="both"/>
        <w:rPr>
          <w:sz w:val="22"/>
          <w:szCs w:val="22"/>
        </w:rPr>
      </w:pPr>
      <w:r>
        <w:rPr>
          <w:sz w:val="22"/>
        </w:rPr>
        <w:t>Im Jahr 2023 wurden keine Handlungen auf Veranlassung oder im Interesse der beherrschenden Personen oder der von ihnen kontrollierten Personen, die das Vermögen von mehr als 10 % des Eigenkapitals der Gesellschaft betreffen würden, vorgenommen.</w:t>
      </w:r>
    </w:p>
    <w:p w14:paraId="7A33903E" w14:textId="77777777" w:rsidR="007A09F7" w:rsidRDefault="007A09F7" w:rsidP="00040DF2">
      <w:pPr>
        <w:jc w:val="both"/>
        <w:rPr>
          <w:sz w:val="22"/>
          <w:szCs w:val="22"/>
        </w:rPr>
      </w:pPr>
    </w:p>
    <w:p w14:paraId="2A9C8DF3" w14:textId="57FF5A2F" w:rsidR="002800E3" w:rsidRPr="007A09F7" w:rsidRDefault="002800E3" w:rsidP="00040DF2">
      <w:pPr>
        <w:jc w:val="both"/>
        <w:rPr>
          <w:b/>
          <w:bCs/>
          <w:color w:val="009DA8"/>
          <w:sz w:val="22"/>
          <w:szCs w:val="22"/>
        </w:rPr>
      </w:pPr>
      <w:r>
        <w:rPr>
          <w:b/>
          <w:color w:val="009DA8"/>
          <w:sz w:val="22"/>
        </w:rPr>
        <w:t>Überblick über die Verträge</w:t>
      </w:r>
    </w:p>
    <w:p w14:paraId="32DBFC68" w14:textId="77777777" w:rsidR="007A09F7" w:rsidRDefault="007A09F7" w:rsidP="00040DF2">
      <w:pPr>
        <w:jc w:val="both"/>
        <w:rPr>
          <w:sz w:val="22"/>
          <w:szCs w:val="22"/>
        </w:rPr>
      </w:pPr>
    </w:p>
    <w:p w14:paraId="52FE6EF4" w14:textId="27318C31" w:rsidR="002800E3" w:rsidRPr="00AD1EE2" w:rsidRDefault="002800E3" w:rsidP="00040DF2">
      <w:pPr>
        <w:jc w:val="both"/>
        <w:rPr>
          <w:sz w:val="22"/>
          <w:szCs w:val="22"/>
        </w:rPr>
      </w:pPr>
      <w:r>
        <w:rPr>
          <w:sz w:val="22"/>
        </w:rPr>
        <w:t>Zwischen der Gesellschaft und den beherrschenden Personen wurden keine Verträge abgeschlossen.</w:t>
      </w:r>
    </w:p>
    <w:p w14:paraId="08C633CA" w14:textId="77777777" w:rsidR="007A09F7" w:rsidRDefault="007A09F7" w:rsidP="00040DF2">
      <w:pPr>
        <w:jc w:val="both"/>
        <w:rPr>
          <w:sz w:val="22"/>
          <w:szCs w:val="22"/>
        </w:rPr>
      </w:pPr>
    </w:p>
    <w:p w14:paraId="2176EEB9" w14:textId="77777777" w:rsidR="007A09F7" w:rsidRDefault="007A09F7" w:rsidP="00040DF2">
      <w:pPr>
        <w:jc w:val="both"/>
        <w:rPr>
          <w:sz w:val="22"/>
          <w:szCs w:val="22"/>
        </w:rPr>
      </w:pPr>
    </w:p>
    <w:p w14:paraId="05F37204" w14:textId="36BD912B" w:rsidR="002800E3" w:rsidRPr="007A09F7" w:rsidRDefault="002800E3" w:rsidP="00040DF2">
      <w:pPr>
        <w:jc w:val="both"/>
        <w:rPr>
          <w:b/>
          <w:bCs/>
          <w:color w:val="009DA8"/>
          <w:sz w:val="22"/>
          <w:szCs w:val="22"/>
        </w:rPr>
      </w:pPr>
      <w:r>
        <w:rPr>
          <w:b/>
          <w:color w:val="009DA8"/>
          <w:sz w:val="22"/>
        </w:rPr>
        <w:t>Beurteilung, ob der Gesellschaft ein Schaden entstanden ist, und Beurteilung des Schadensersatzes</w:t>
      </w:r>
    </w:p>
    <w:p w14:paraId="1FF4F9BD" w14:textId="77777777" w:rsidR="007A09F7" w:rsidRDefault="007A09F7" w:rsidP="00040DF2">
      <w:pPr>
        <w:jc w:val="both"/>
        <w:rPr>
          <w:sz w:val="22"/>
          <w:szCs w:val="22"/>
        </w:rPr>
      </w:pPr>
    </w:p>
    <w:p w14:paraId="6769C217" w14:textId="6AB0E959" w:rsidR="002800E3" w:rsidRPr="00AD1EE2" w:rsidRDefault="002800E3" w:rsidP="00040DF2">
      <w:pPr>
        <w:jc w:val="both"/>
        <w:rPr>
          <w:sz w:val="22"/>
          <w:szCs w:val="22"/>
        </w:rPr>
      </w:pPr>
      <w:r>
        <w:rPr>
          <w:sz w:val="22"/>
        </w:rPr>
        <w:t>Der Gesellschaft ist aus ihrer Beziehung zu den beherrschenden Personen bzw. zu den von den beherrschenden Personen kontrollierten Personen kein Schaden entstanden.</w:t>
      </w:r>
    </w:p>
    <w:p w14:paraId="4C7F4310" w14:textId="77777777" w:rsidR="007A09F7" w:rsidRDefault="007A09F7" w:rsidP="00040DF2">
      <w:pPr>
        <w:jc w:val="both"/>
        <w:rPr>
          <w:sz w:val="22"/>
          <w:szCs w:val="22"/>
        </w:rPr>
      </w:pPr>
    </w:p>
    <w:p w14:paraId="5F47E6DD" w14:textId="141D8B8C" w:rsidR="002800E3" w:rsidRPr="007A09F7" w:rsidRDefault="002800E3" w:rsidP="00040DF2">
      <w:pPr>
        <w:jc w:val="both"/>
        <w:rPr>
          <w:b/>
          <w:bCs/>
          <w:color w:val="009DA8"/>
          <w:sz w:val="22"/>
          <w:szCs w:val="22"/>
        </w:rPr>
      </w:pPr>
      <w:r>
        <w:rPr>
          <w:b/>
          <w:color w:val="009DA8"/>
          <w:sz w:val="22"/>
        </w:rPr>
        <w:t>Vorteile und Nachteile, die sich aus den Beziehungen ergeben</w:t>
      </w:r>
    </w:p>
    <w:p w14:paraId="371597B1" w14:textId="77777777" w:rsidR="007A09F7" w:rsidRDefault="007A09F7" w:rsidP="00040DF2">
      <w:pPr>
        <w:jc w:val="both"/>
        <w:rPr>
          <w:sz w:val="22"/>
          <w:szCs w:val="22"/>
        </w:rPr>
      </w:pPr>
    </w:p>
    <w:p w14:paraId="64708573" w14:textId="0036CB48" w:rsidR="002800E3" w:rsidRPr="00AD1EE2" w:rsidRDefault="002800E3" w:rsidP="00040DF2">
      <w:pPr>
        <w:jc w:val="both"/>
        <w:rPr>
          <w:sz w:val="22"/>
          <w:szCs w:val="22"/>
        </w:rPr>
      </w:pPr>
      <w:r>
        <w:rPr>
          <w:sz w:val="22"/>
        </w:rPr>
        <w:t>Aus den Beziehungen zwischen den beherrschenden Personen und der Gesellschaft sowie zwischen der Gesellschaft und den von den beherrschenden Personen kontrollierten Personen ergeben sich keine wesentlichen Vor- oder Nachteile. Für die Gesellschaft ergeben sich aus diesen Beziehungen keine Risiken.</w:t>
      </w:r>
    </w:p>
    <w:p w14:paraId="2759E4EB" w14:textId="77777777" w:rsidR="007A09F7" w:rsidRDefault="007A09F7" w:rsidP="00040DF2">
      <w:pPr>
        <w:jc w:val="both"/>
        <w:rPr>
          <w:sz w:val="22"/>
          <w:szCs w:val="22"/>
        </w:rPr>
      </w:pPr>
    </w:p>
    <w:p w14:paraId="4BBC6C76" w14:textId="05254D40" w:rsidR="002800E3" w:rsidRPr="00AD1EE2" w:rsidRDefault="002800E3" w:rsidP="00040DF2">
      <w:pPr>
        <w:jc w:val="both"/>
        <w:rPr>
          <w:sz w:val="22"/>
          <w:szCs w:val="22"/>
        </w:rPr>
      </w:pPr>
      <w:r>
        <w:rPr>
          <w:sz w:val="22"/>
        </w:rPr>
        <w:t>Die Geschäftsführung und das Management der Tätigkeit der Gesellschaft obliegt ihrem gesetzlich vorgesehenen Leitungsorgan, dem Verwaltungsrat, dessen einziges Mitglied der Verwalter der Gesellschaft ist. Das gesetzlich vorgesehene Leitungsorgan führt die von der Hauptversammlung gefassten Beschlüsse aus. Das gesetzlich vorgesehene Leitungsorgan ist in Bezug auf die einzelnen Geschäftsvorfälle nicht an die Weisungen der Aktionäre gebunden, verwaltet die Gesellschaft mit fachlicher Sorgfalt und übt seine Tätigkeit ordnungsgemäß und bedächtig aus. Zu diesem Zweck hat das gesetzlich vorgesehene Leitungsorgan ein Leitungs- und Kontrollsystem eingeführt, welches aufrechterhalten und anwendet wird.</w:t>
      </w:r>
    </w:p>
    <w:p w14:paraId="7C44026F" w14:textId="77777777" w:rsidR="007A09F7" w:rsidRDefault="007A09F7" w:rsidP="00040DF2">
      <w:pPr>
        <w:jc w:val="both"/>
        <w:rPr>
          <w:sz w:val="22"/>
          <w:szCs w:val="22"/>
        </w:rPr>
      </w:pPr>
    </w:p>
    <w:p w14:paraId="1699C2FC" w14:textId="4888466E" w:rsidR="002800E3" w:rsidRPr="00AD1EE2" w:rsidRDefault="002800E3" w:rsidP="00040DF2">
      <w:pPr>
        <w:jc w:val="both"/>
        <w:rPr>
          <w:sz w:val="22"/>
          <w:szCs w:val="22"/>
        </w:rPr>
      </w:pPr>
      <w:r>
        <w:rPr>
          <w:sz w:val="22"/>
        </w:rPr>
        <w:t>Beherrschende Personen haben die Möglichkeit, ihre Aktionärsrechte in Bezug auf die Gesellschaft in der Zuständigkeit der Hauptversammlung auszuüben.</w:t>
      </w:r>
    </w:p>
    <w:p w14:paraId="23DA0867" w14:textId="4357E947" w:rsidR="002800E3" w:rsidRPr="007A09F7" w:rsidRDefault="002800E3" w:rsidP="00040DF2">
      <w:pPr>
        <w:jc w:val="both"/>
        <w:rPr>
          <w:b/>
          <w:bCs/>
          <w:color w:val="009DA8"/>
          <w:sz w:val="22"/>
          <w:szCs w:val="22"/>
        </w:rPr>
      </w:pPr>
      <w:r>
        <w:rPr>
          <w:b/>
          <w:color w:val="009DA8"/>
          <w:sz w:val="22"/>
        </w:rPr>
        <w:lastRenderedPageBreak/>
        <w:t>Erklärung des gesetzlich vorgesehenen Leitungsorgans</w:t>
      </w:r>
    </w:p>
    <w:p w14:paraId="1B7FC56C" w14:textId="77777777" w:rsidR="007A09F7" w:rsidRDefault="007A09F7" w:rsidP="00040DF2">
      <w:pPr>
        <w:jc w:val="both"/>
        <w:rPr>
          <w:sz w:val="22"/>
          <w:szCs w:val="22"/>
        </w:rPr>
      </w:pPr>
    </w:p>
    <w:p w14:paraId="3A2F4679" w14:textId="549460FB" w:rsidR="002800E3" w:rsidRPr="00AD1EE2" w:rsidRDefault="002800E3" w:rsidP="00040DF2">
      <w:pPr>
        <w:jc w:val="both"/>
        <w:rPr>
          <w:sz w:val="22"/>
          <w:szCs w:val="22"/>
        </w:rPr>
      </w:pPr>
      <w:r>
        <w:rPr>
          <w:sz w:val="22"/>
        </w:rPr>
        <w:t>Das gesetzlich vorgesehene Leitungsorgan erklärt hiermit, den Bericht über Beziehungen auf der Grundlage der Informationen über die Beziehungen zwischen der Gesellschaft und den beherrschenden Personen sowie zwischen der Gesellschaft und den von den beherrschenden Personen kontrollierten Personen, die ihm aus öffentlichen Quellen oder von anderen Personen zur Verfügung stehen, erstellt zu haben. Das gesetzlich vorgesehene Leitungsorgan erklärt, dass ihm keine Tatsachen bekannt sind, die Bestandteil des Berichts über Beziehungen der Gesellschaft sein sollten und die in diesem Bericht nicht angeführt sind.</w:t>
      </w:r>
    </w:p>
    <w:p w14:paraId="42AF600E" w14:textId="77777777" w:rsidR="002800E3" w:rsidRPr="00AD1EE2" w:rsidRDefault="002800E3" w:rsidP="00040DF2">
      <w:pPr>
        <w:jc w:val="both"/>
        <w:rPr>
          <w:sz w:val="22"/>
          <w:szCs w:val="22"/>
        </w:rPr>
      </w:pPr>
      <w:r>
        <w:rPr>
          <w:sz w:val="22"/>
        </w:rPr>
        <w:t>Das gesetzlich vorgesehene Leitungsorgan erklärt, diesen Bericht mit der Sorgfalt eines ordentlichen Kaufmanns erstellt zu haben, und dass die in diesem Bericht enthaltenen Angaben richtig und vollständig sind.</w:t>
      </w:r>
    </w:p>
    <w:p w14:paraId="3BF2A681" w14:textId="77777777" w:rsidR="00AF743A" w:rsidRDefault="00AF743A" w:rsidP="00040DF2">
      <w:pPr>
        <w:jc w:val="both"/>
        <w:rPr>
          <w:sz w:val="22"/>
          <w:szCs w:val="22"/>
        </w:rPr>
      </w:pPr>
    </w:p>
    <w:p w14:paraId="4D4BB0BA" w14:textId="77777777" w:rsidR="00AF743A" w:rsidRDefault="00AF743A" w:rsidP="00040DF2">
      <w:pPr>
        <w:jc w:val="both"/>
        <w:rPr>
          <w:sz w:val="22"/>
          <w:szCs w:val="22"/>
        </w:rPr>
      </w:pPr>
    </w:p>
    <w:p w14:paraId="5D04D998" w14:textId="66EA805F" w:rsidR="002800E3" w:rsidRPr="00AD1EE2" w:rsidRDefault="002800E3" w:rsidP="00040DF2">
      <w:pPr>
        <w:jc w:val="both"/>
        <w:rPr>
          <w:sz w:val="22"/>
          <w:szCs w:val="22"/>
        </w:rPr>
      </w:pPr>
      <w:r>
        <w:rPr>
          <w:sz w:val="22"/>
        </w:rPr>
        <w:t>Brno, den 21. März 2024</w:t>
      </w:r>
    </w:p>
    <w:p w14:paraId="36F45D9B" w14:textId="57B7E53D" w:rsidR="00AF743A" w:rsidRDefault="00AF743A" w:rsidP="00AF743A">
      <w:pPr>
        <w:spacing w:before="240"/>
        <w:jc w:val="both"/>
        <w:rPr>
          <w:sz w:val="22"/>
          <w:szCs w:val="22"/>
        </w:rPr>
      </w:pPr>
      <w:r>
        <w:rPr>
          <w:noProof/>
        </w:rPr>
        <w:drawing>
          <wp:inline distT="0" distB="0" distL="0" distR="0" wp14:anchorId="44E23E82" wp14:editId="60319E3C">
            <wp:extent cx="2670175" cy="829310"/>
            <wp:effectExtent l="0" t="0" r="0" b="8890"/>
            <wp:docPr id="34" name="Shape 22" descr="Obsah obrázku rukopis, Písmo, kaligrafie, text&#10;&#10;Popis byl vytvořen automaticky"/>
            <wp:cNvGraphicFramePr/>
            <a:graphic xmlns:a="http://schemas.openxmlformats.org/drawingml/2006/main">
              <a:graphicData uri="http://schemas.openxmlformats.org/drawingml/2006/picture">
                <pic:pic xmlns:pic="http://schemas.openxmlformats.org/drawingml/2006/picture">
                  <pic:nvPicPr>
                    <pic:cNvPr id="34" name="Shape 22" descr="Obsah obrázku rukopis, Písmo, kaligrafie, text&#10;&#10;Popis byl vytvořen automaticky"/>
                    <pic:cNvPicPr/>
                  </pic:nvPicPr>
                  <pic:blipFill>
                    <a:blip r:embed="rId25" cstate="print">
                      <a:extLst>
                        <a:ext uri="{28A0092B-C50C-407E-A947-70E740481C1C}">
                          <a14:useLocalDpi xmlns:a14="http://schemas.microsoft.com/office/drawing/2010/main" val="0"/>
                        </a:ext>
                      </a:extLst>
                    </a:blip>
                    <a:stretch/>
                  </pic:blipFill>
                  <pic:spPr>
                    <a:xfrm>
                      <a:off x="0" y="0"/>
                      <a:ext cx="2670175" cy="829310"/>
                    </a:xfrm>
                    <a:prstGeom prst="rect">
                      <a:avLst/>
                    </a:prstGeom>
                  </pic:spPr>
                </pic:pic>
              </a:graphicData>
            </a:graphic>
          </wp:inline>
        </w:drawing>
      </w:r>
    </w:p>
    <w:p w14:paraId="1E1C7443" w14:textId="74CEA748" w:rsidR="002800E3" w:rsidRPr="000F3A73" w:rsidRDefault="002800E3" w:rsidP="00040DF2">
      <w:pPr>
        <w:jc w:val="both"/>
        <w:rPr>
          <w:sz w:val="22"/>
          <w:szCs w:val="22"/>
          <w:lang w:val="en-GB"/>
        </w:rPr>
      </w:pPr>
      <w:r w:rsidRPr="000F3A73">
        <w:rPr>
          <w:sz w:val="22"/>
          <w:lang w:val="en-GB"/>
        </w:rPr>
        <w:t xml:space="preserve">ZDR Investments SICAV </w:t>
      </w:r>
      <w:proofErr w:type="spellStart"/>
      <w:r w:rsidRPr="000F3A73">
        <w:rPr>
          <w:sz w:val="22"/>
          <w:lang w:val="en-GB"/>
        </w:rPr>
        <w:t>a.s.</w:t>
      </w:r>
      <w:proofErr w:type="spellEnd"/>
    </w:p>
    <w:p w14:paraId="44A4F23A" w14:textId="77777777" w:rsidR="002800E3" w:rsidRPr="00AD1EE2" w:rsidRDefault="002800E3" w:rsidP="00040DF2">
      <w:pPr>
        <w:jc w:val="both"/>
        <w:rPr>
          <w:sz w:val="22"/>
          <w:szCs w:val="22"/>
        </w:rPr>
      </w:pPr>
      <w:r>
        <w:rPr>
          <w:sz w:val="22"/>
        </w:rPr>
        <w:t xml:space="preserve">Ing. Robert </w:t>
      </w:r>
      <w:proofErr w:type="spellStart"/>
      <w:r>
        <w:rPr>
          <w:sz w:val="22"/>
        </w:rPr>
        <w:t>Hlava</w:t>
      </w:r>
      <w:proofErr w:type="spellEnd"/>
    </w:p>
    <w:p w14:paraId="6108B508" w14:textId="77777777" w:rsidR="00AF743A" w:rsidRDefault="002800E3" w:rsidP="00040DF2">
      <w:pPr>
        <w:jc w:val="both"/>
        <w:rPr>
          <w:sz w:val="22"/>
          <w:szCs w:val="22"/>
        </w:rPr>
      </w:pPr>
      <w:r>
        <w:rPr>
          <w:sz w:val="22"/>
        </w:rPr>
        <w:t>beauftragter Bevollmächtigter des einzigen Mitglieds des Verwaltungsrats</w:t>
      </w:r>
    </w:p>
    <w:p w14:paraId="06ED6447" w14:textId="5245A33E" w:rsidR="002800E3" w:rsidRDefault="002800E3" w:rsidP="00040DF2">
      <w:pPr>
        <w:jc w:val="both"/>
        <w:rPr>
          <w:sz w:val="22"/>
          <w:szCs w:val="22"/>
        </w:rPr>
      </w:pPr>
      <w:r>
        <w:rPr>
          <w:sz w:val="22"/>
        </w:rPr>
        <w:t xml:space="preserve">CODYA </w:t>
      </w:r>
      <w:proofErr w:type="spellStart"/>
      <w:r>
        <w:rPr>
          <w:sz w:val="22"/>
        </w:rPr>
        <w:t>investiční</w:t>
      </w:r>
      <w:proofErr w:type="spellEnd"/>
      <w:r>
        <w:rPr>
          <w:sz w:val="22"/>
        </w:rPr>
        <w:t xml:space="preserve"> </w:t>
      </w:r>
      <w:proofErr w:type="spellStart"/>
      <w:r>
        <w:rPr>
          <w:sz w:val="22"/>
        </w:rPr>
        <w:t>společnost</w:t>
      </w:r>
      <w:proofErr w:type="spellEnd"/>
      <w:r>
        <w:rPr>
          <w:sz w:val="22"/>
        </w:rPr>
        <w:t xml:space="preserve">, </w:t>
      </w:r>
      <w:proofErr w:type="spellStart"/>
      <w:r>
        <w:rPr>
          <w:sz w:val="22"/>
        </w:rPr>
        <w:t>a.s.</w:t>
      </w:r>
      <w:proofErr w:type="spellEnd"/>
    </w:p>
    <w:p w14:paraId="0DE2D658" w14:textId="77777777" w:rsidR="00AF743A" w:rsidRPr="00AD1EE2" w:rsidRDefault="00AF743A" w:rsidP="00040DF2">
      <w:pPr>
        <w:jc w:val="both"/>
        <w:rPr>
          <w:sz w:val="22"/>
          <w:szCs w:val="22"/>
        </w:rPr>
      </w:pPr>
    </w:p>
    <w:p w14:paraId="2F2C56EB" w14:textId="77777777" w:rsidR="00AF743A" w:rsidRDefault="00AF743A" w:rsidP="00040DF2">
      <w:pPr>
        <w:jc w:val="both"/>
        <w:rPr>
          <w:sz w:val="22"/>
          <w:szCs w:val="22"/>
        </w:rPr>
        <w:sectPr w:rsidR="00AF743A" w:rsidSect="00040DF2">
          <w:headerReference w:type="default" r:id="rId26"/>
          <w:footerReference w:type="default" r:id="rId27"/>
          <w:pgSz w:w="11906" w:h="16838" w:code="9"/>
          <w:pgMar w:top="2778" w:right="1418" w:bottom="1247" w:left="1418" w:header="1361" w:footer="709" w:gutter="0"/>
          <w:cols w:space="708"/>
          <w:docGrid w:linePitch="360"/>
        </w:sectPr>
      </w:pPr>
    </w:p>
    <w:p w14:paraId="0A4FDC25" w14:textId="77777777" w:rsidR="00F72271" w:rsidRPr="002F75FF" w:rsidRDefault="00F72271" w:rsidP="00040DF2">
      <w:pPr>
        <w:jc w:val="both"/>
        <w:rPr>
          <w:sz w:val="8"/>
          <w:szCs w:val="8"/>
        </w:rPr>
      </w:pPr>
    </w:p>
    <w:p w14:paraId="5C2CBD06" w14:textId="47079E47" w:rsidR="002800E3" w:rsidRPr="00F72271" w:rsidRDefault="002800E3" w:rsidP="00F72271">
      <w:pPr>
        <w:spacing w:after="320"/>
        <w:jc w:val="both"/>
        <w:rPr>
          <w:b/>
          <w:bCs/>
          <w:sz w:val="22"/>
          <w:szCs w:val="22"/>
        </w:rPr>
      </w:pPr>
      <w:r>
        <w:rPr>
          <w:b/>
          <w:sz w:val="22"/>
        </w:rPr>
        <w:t>BESONDERE BESTANDTEILE DES JAHRESBERICHTS</w:t>
      </w:r>
    </w:p>
    <w:p w14:paraId="3B5C8917" w14:textId="2AE7281B" w:rsidR="002800E3" w:rsidRPr="00AD1EE2" w:rsidRDefault="002800E3" w:rsidP="00040DF2">
      <w:pPr>
        <w:jc w:val="both"/>
        <w:rPr>
          <w:sz w:val="22"/>
          <w:szCs w:val="22"/>
        </w:rPr>
      </w:pPr>
      <w:r>
        <w:rPr>
          <w:sz w:val="22"/>
        </w:rPr>
        <w:t xml:space="preserve">ZDR Investments SICAV </w:t>
      </w:r>
      <w:proofErr w:type="spellStart"/>
      <w:r>
        <w:rPr>
          <w:sz w:val="22"/>
        </w:rPr>
        <w:t>a.s.</w:t>
      </w:r>
      <w:proofErr w:type="spellEnd"/>
      <w:r>
        <w:rPr>
          <w:sz w:val="22"/>
        </w:rPr>
        <w:t xml:space="preserve"> (im Folgenden „</w:t>
      </w:r>
      <w:r>
        <w:rPr>
          <w:b/>
          <w:sz w:val="22"/>
        </w:rPr>
        <w:t>Gesellschaft</w:t>
      </w:r>
      <w:r>
        <w:rPr>
          <w:sz w:val="22"/>
        </w:rPr>
        <w:t xml:space="preserve">“) führt in Übereinstimmung mit den Bestimmungen von § 291 Abs. 1 und 3, § 234 Abs. 1 </w:t>
      </w:r>
      <w:proofErr w:type="spellStart"/>
      <w:r>
        <w:rPr>
          <w:sz w:val="22"/>
        </w:rPr>
        <w:t>Lit</w:t>
      </w:r>
      <w:proofErr w:type="spellEnd"/>
      <w:r>
        <w:rPr>
          <w:sz w:val="22"/>
        </w:rPr>
        <w:t>. a), b) und j) und § 234 Abs. 2, 6 und 8 des Gesetzes Nr. 240/2013 GBl. über Investmentgesellschaften und Investmentfonds in der geltenden Fassung (im Folgenden „</w:t>
      </w:r>
      <w:proofErr w:type="spellStart"/>
      <w:r w:rsidRPr="002F75FF">
        <w:rPr>
          <w:b/>
          <w:bCs/>
          <w:sz w:val="22"/>
        </w:rPr>
        <w:t>InvG</w:t>
      </w:r>
      <w:proofErr w:type="spellEnd"/>
      <w:r>
        <w:rPr>
          <w:sz w:val="22"/>
        </w:rPr>
        <w:t>“), Artikel 103 bis 107 der Delegierten Verordnung (EU) Nr. 231/2013 der Kommission (im Folgenden „</w:t>
      </w:r>
      <w:r>
        <w:rPr>
          <w:b/>
          <w:sz w:val="22"/>
        </w:rPr>
        <w:t>Verordnung</w:t>
      </w:r>
      <w:r>
        <w:rPr>
          <w:sz w:val="22"/>
        </w:rPr>
        <w:t>“), der Verordnung Nr.</w:t>
      </w:r>
      <w:r w:rsidR="002F75FF">
        <w:rPr>
          <w:sz w:val="22"/>
        </w:rPr>
        <w:t> </w:t>
      </w:r>
      <w:r>
        <w:rPr>
          <w:sz w:val="22"/>
        </w:rPr>
        <w:t>244/2013 GBl., zur näheren Regelung bestimmter Vorschriften des Gesetzes über Investmentgesellschaften und Investmentfonds in der geltenden Fassung, und § 21 Abs. 2 des Gesetzes Nr. 563/1991 GBl. über die Rechnungslegung in der geltenden Fassung, die folgenden besonderen Anforderungen an den Jahresbericht an. Dieser Jahresbericht enthält auch den Jahresabschluss, den Bericht des unabhängigen Wirtschaftsprüfers und den Bericht über die Beziehungen. Dieser Bericht beschreibt nicht die Portfoliozusammensetzung der einzelnen Teilfonds der Gesellschaft, die in den separaten Jahresberichten der Teilfonds dargelegt wird.</w:t>
      </w:r>
    </w:p>
    <w:p w14:paraId="0E8F330F" w14:textId="77777777" w:rsidR="00F72271" w:rsidRDefault="00F72271" w:rsidP="00040DF2">
      <w:pPr>
        <w:jc w:val="both"/>
        <w:rPr>
          <w:sz w:val="22"/>
          <w:szCs w:val="22"/>
        </w:rPr>
      </w:pPr>
    </w:p>
    <w:p w14:paraId="6803FF22" w14:textId="6049E97C" w:rsidR="002800E3" w:rsidRPr="00F72271" w:rsidRDefault="002800E3" w:rsidP="00F72271">
      <w:pPr>
        <w:spacing w:after="320"/>
        <w:jc w:val="both"/>
        <w:rPr>
          <w:b/>
          <w:bCs/>
          <w:color w:val="009DA8"/>
          <w:sz w:val="22"/>
          <w:szCs w:val="22"/>
        </w:rPr>
      </w:pPr>
      <w:r>
        <w:rPr>
          <w:b/>
          <w:color w:val="009DA8"/>
          <w:sz w:val="22"/>
        </w:rPr>
        <w:t>Die Tätigkeit der Gesellschaft im Jahr 2023</w:t>
      </w:r>
    </w:p>
    <w:p w14:paraId="7C5FBC00" w14:textId="26A68757" w:rsidR="002800E3" w:rsidRPr="00AD1EE2" w:rsidRDefault="002800E3" w:rsidP="00040DF2">
      <w:pPr>
        <w:jc w:val="both"/>
        <w:rPr>
          <w:sz w:val="22"/>
          <w:szCs w:val="22"/>
        </w:rPr>
      </w:pPr>
      <w:r>
        <w:rPr>
          <w:sz w:val="22"/>
        </w:rPr>
        <w:t>Im Verlauf des Jahres 2023 sammelte die Gesellschaft von qualifizierten Anlegern Geldmittel in den Teilfonds der Gesellschaft an. Die Gesellschaft hat keine andere Tätigkeit ausgeübt.</w:t>
      </w:r>
    </w:p>
    <w:p w14:paraId="0F61D987" w14:textId="77777777" w:rsidR="00F72271" w:rsidRDefault="00F72271" w:rsidP="00040DF2">
      <w:pPr>
        <w:jc w:val="both"/>
        <w:rPr>
          <w:sz w:val="22"/>
          <w:szCs w:val="22"/>
        </w:rPr>
      </w:pPr>
    </w:p>
    <w:p w14:paraId="129BA9AC" w14:textId="77777777" w:rsidR="00F72271" w:rsidRDefault="00F72271" w:rsidP="00040DF2">
      <w:pPr>
        <w:jc w:val="both"/>
        <w:rPr>
          <w:sz w:val="22"/>
          <w:szCs w:val="22"/>
        </w:rPr>
      </w:pPr>
    </w:p>
    <w:p w14:paraId="7FBC477A" w14:textId="37E2CB3D" w:rsidR="002800E3" w:rsidRPr="00F72271" w:rsidRDefault="002800E3" w:rsidP="00F72271">
      <w:pPr>
        <w:spacing w:after="320"/>
        <w:jc w:val="both"/>
        <w:rPr>
          <w:b/>
          <w:bCs/>
          <w:color w:val="009DA8"/>
          <w:sz w:val="22"/>
          <w:szCs w:val="22"/>
        </w:rPr>
      </w:pPr>
      <w:r>
        <w:rPr>
          <w:b/>
          <w:color w:val="009DA8"/>
          <w:sz w:val="22"/>
        </w:rPr>
        <w:t>Informationen über Ereignisse, die erst nach dem Bilanzstichtag eingetreten sind und für den Zweck des Jahresberichts von Bedeutung sind</w:t>
      </w:r>
    </w:p>
    <w:p w14:paraId="750F20B5" w14:textId="78C8DC09" w:rsidR="002800E3" w:rsidRPr="00AD1EE2" w:rsidRDefault="002800E3" w:rsidP="00040DF2">
      <w:pPr>
        <w:jc w:val="both"/>
        <w:rPr>
          <w:sz w:val="22"/>
          <w:szCs w:val="22"/>
        </w:rPr>
      </w:pPr>
      <w:r>
        <w:rPr>
          <w:sz w:val="22"/>
        </w:rPr>
        <w:t>Nach dem Bilanzstichtag sind keine wesentlichen Ereignisse eingetreten.</w:t>
      </w:r>
    </w:p>
    <w:p w14:paraId="6C6E6E5D" w14:textId="77777777" w:rsidR="00F72271" w:rsidRDefault="00F72271" w:rsidP="00040DF2">
      <w:pPr>
        <w:jc w:val="both"/>
        <w:rPr>
          <w:sz w:val="22"/>
          <w:szCs w:val="22"/>
        </w:rPr>
      </w:pPr>
    </w:p>
    <w:p w14:paraId="2FFB25AD" w14:textId="77777777" w:rsidR="00F72271" w:rsidRDefault="00F72271" w:rsidP="00040DF2">
      <w:pPr>
        <w:jc w:val="both"/>
        <w:rPr>
          <w:sz w:val="22"/>
          <w:szCs w:val="22"/>
        </w:rPr>
      </w:pPr>
    </w:p>
    <w:p w14:paraId="6066B6AA" w14:textId="638CEA08" w:rsidR="002800E3" w:rsidRPr="00F72271" w:rsidRDefault="002800E3" w:rsidP="00F72271">
      <w:pPr>
        <w:spacing w:after="320"/>
        <w:jc w:val="both"/>
        <w:rPr>
          <w:b/>
          <w:bCs/>
          <w:color w:val="009DA8"/>
          <w:sz w:val="22"/>
          <w:szCs w:val="22"/>
        </w:rPr>
      </w:pPr>
      <w:r>
        <w:rPr>
          <w:b/>
          <w:color w:val="009DA8"/>
          <w:sz w:val="22"/>
        </w:rPr>
        <w:t>Informationen über die voraussichtliche Entwicklung der Tätigkeit der Gesellschaft</w:t>
      </w:r>
    </w:p>
    <w:p w14:paraId="5F7A7BC9" w14:textId="566556A5" w:rsidR="002800E3" w:rsidRPr="00AD1EE2" w:rsidRDefault="002800E3" w:rsidP="00040DF2">
      <w:pPr>
        <w:jc w:val="both"/>
        <w:rPr>
          <w:sz w:val="22"/>
          <w:szCs w:val="22"/>
        </w:rPr>
      </w:pPr>
      <w:r>
        <w:rPr>
          <w:sz w:val="22"/>
        </w:rPr>
        <w:t>Die Gesellschaft wird im Jahr 2024 weiterhin keine Tätigkeit ausüben. Die Gesellschaft ist zu dem Schluss gekommen, dass die oben genannten Tatsachen keine wesentlichen Auswirkungen auf die Annahme der Unternehmensfortführung haben dürften.</w:t>
      </w:r>
    </w:p>
    <w:p w14:paraId="6781B661" w14:textId="77777777" w:rsidR="00F72271" w:rsidRDefault="00F72271" w:rsidP="00040DF2">
      <w:pPr>
        <w:jc w:val="both"/>
        <w:rPr>
          <w:sz w:val="22"/>
          <w:szCs w:val="22"/>
        </w:rPr>
      </w:pPr>
    </w:p>
    <w:p w14:paraId="5ADBA08B" w14:textId="77777777" w:rsidR="00F72271" w:rsidRDefault="00F72271" w:rsidP="00040DF2">
      <w:pPr>
        <w:jc w:val="both"/>
        <w:rPr>
          <w:sz w:val="22"/>
          <w:szCs w:val="22"/>
        </w:rPr>
      </w:pPr>
    </w:p>
    <w:p w14:paraId="78EBBAAA" w14:textId="763E9B60" w:rsidR="002800E3" w:rsidRPr="00F72271" w:rsidRDefault="002800E3" w:rsidP="00F72271">
      <w:pPr>
        <w:spacing w:before="120"/>
        <w:jc w:val="both"/>
        <w:rPr>
          <w:b/>
          <w:bCs/>
          <w:color w:val="009DA8"/>
          <w:sz w:val="22"/>
          <w:szCs w:val="22"/>
        </w:rPr>
      </w:pPr>
      <w:r>
        <w:rPr>
          <w:b/>
          <w:color w:val="009DA8"/>
          <w:sz w:val="22"/>
        </w:rPr>
        <w:t>Informationen über die Aktivitäten auf dem Gebiet der Forschung und der Entwicklung</w:t>
      </w:r>
    </w:p>
    <w:p w14:paraId="535E3808" w14:textId="77777777" w:rsidR="00F72271" w:rsidRDefault="00F72271" w:rsidP="00040DF2">
      <w:pPr>
        <w:jc w:val="both"/>
        <w:rPr>
          <w:sz w:val="22"/>
          <w:szCs w:val="22"/>
        </w:rPr>
      </w:pPr>
    </w:p>
    <w:p w14:paraId="0664F423" w14:textId="36AAD947" w:rsidR="002800E3" w:rsidRPr="00AD1EE2" w:rsidRDefault="002800E3" w:rsidP="00040DF2">
      <w:pPr>
        <w:jc w:val="both"/>
        <w:rPr>
          <w:sz w:val="22"/>
          <w:szCs w:val="22"/>
        </w:rPr>
      </w:pPr>
      <w:r>
        <w:rPr>
          <w:sz w:val="22"/>
        </w:rPr>
        <w:t>Die Gesellschaft ist auf dem Gebiet der Forschung und Entwicklung nicht aktiv.</w:t>
      </w:r>
    </w:p>
    <w:p w14:paraId="531E30E2" w14:textId="77777777" w:rsidR="00F72271" w:rsidRDefault="00F72271" w:rsidP="00040DF2">
      <w:pPr>
        <w:jc w:val="both"/>
        <w:rPr>
          <w:sz w:val="22"/>
          <w:szCs w:val="22"/>
        </w:rPr>
      </w:pPr>
    </w:p>
    <w:p w14:paraId="47CA4AF6" w14:textId="77777777" w:rsidR="00F72271" w:rsidRDefault="00F72271" w:rsidP="00040DF2">
      <w:pPr>
        <w:jc w:val="both"/>
        <w:rPr>
          <w:sz w:val="22"/>
          <w:szCs w:val="22"/>
        </w:rPr>
      </w:pPr>
    </w:p>
    <w:p w14:paraId="69F6973D" w14:textId="484630C8" w:rsidR="002800E3" w:rsidRPr="00F72271" w:rsidRDefault="002800E3" w:rsidP="00040DF2">
      <w:pPr>
        <w:jc w:val="both"/>
        <w:rPr>
          <w:b/>
          <w:bCs/>
          <w:color w:val="009DA8"/>
          <w:sz w:val="22"/>
          <w:szCs w:val="22"/>
        </w:rPr>
      </w:pPr>
      <w:r>
        <w:rPr>
          <w:b/>
          <w:color w:val="009DA8"/>
          <w:sz w:val="22"/>
        </w:rPr>
        <w:t>Informationen über den Erwerb eigener Aktien oder eigener Anteile</w:t>
      </w:r>
    </w:p>
    <w:p w14:paraId="4B90433C" w14:textId="77777777" w:rsidR="00F72271" w:rsidRDefault="00F72271" w:rsidP="00040DF2">
      <w:pPr>
        <w:jc w:val="both"/>
        <w:rPr>
          <w:sz w:val="22"/>
          <w:szCs w:val="22"/>
        </w:rPr>
      </w:pPr>
    </w:p>
    <w:p w14:paraId="3414E5AA" w14:textId="36AAA532" w:rsidR="002800E3" w:rsidRPr="00AD1EE2" w:rsidRDefault="002800E3" w:rsidP="00040DF2">
      <w:pPr>
        <w:jc w:val="both"/>
        <w:rPr>
          <w:sz w:val="22"/>
          <w:szCs w:val="22"/>
        </w:rPr>
      </w:pPr>
      <w:r>
        <w:rPr>
          <w:sz w:val="22"/>
        </w:rPr>
        <w:t>Die Gesellschaft hat keine eigenen Aktien oder Anteile erworben.</w:t>
      </w:r>
    </w:p>
    <w:p w14:paraId="0194C215" w14:textId="77777777" w:rsidR="00F72271" w:rsidRDefault="00F72271" w:rsidP="00040DF2">
      <w:pPr>
        <w:jc w:val="both"/>
        <w:rPr>
          <w:sz w:val="22"/>
          <w:szCs w:val="22"/>
        </w:rPr>
      </w:pPr>
    </w:p>
    <w:p w14:paraId="18BE881B" w14:textId="77777777" w:rsidR="00F72271" w:rsidRDefault="00F72271" w:rsidP="00040DF2">
      <w:pPr>
        <w:jc w:val="both"/>
        <w:rPr>
          <w:sz w:val="22"/>
          <w:szCs w:val="22"/>
        </w:rPr>
      </w:pPr>
    </w:p>
    <w:p w14:paraId="20BB70D1" w14:textId="42E65102" w:rsidR="002800E3" w:rsidRPr="00F72271" w:rsidRDefault="002800E3" w:rsidP="00F72271">
      <w:pPr>
        <w:spacing w:after="320"/>
        <w:rPr>
          <w:b/>
          <w:bCs/>
          <w:color w:val="009DA8"/>
          <w:sz w:val="22"/>
          <w:szCs w:val="22"/>
        </w:rPr>
      </w:pPr>
      <w:r>
        <w:rPr>
          <w:b/>
          <w:color w:val="009DA8"/>
          <w:sz w:val="22"/>
        </w:rPr>
        <w:t xml:space="preserve">Informationen über Aktivitäten im Bereich Umweltschutz und arbeitsrechtliche Beziehungen (§ 21 Abs. 2 </w:t>
      </w:r>
      <w:proofErr w:type="spellStart"/>
      <w:r>
        <w:rPr>
          <w:b/>
          <w:color w:val="009DA8"/>
          <w:sz w:val="22"/>
        </w:rPr>
        <w:t>Lit</w:t>
      </w:r>
      <w:proofErr w:type="spellEnd"/>
      <w:r>
        <w:rPr>
          <w:b/>
          <w:color w:val="009DA8"/>
          <w:sz w:val="22"/>
        </w:rPr>
        <w:t>. f) des Gesetzes über die Rechnungslegung)</w:t>
      </w:r>
    </w:p>
    <w:p w14:paraId="51E3D565" w14:textId="6AFE51E4" w:rsidR="002800E3" w:rsidRDefault="002800E3" w:rsidP="002F75FF">
      <w:pPr>
        <w:widowControl w:val="0"/>
        <w:rPr>
          <w:sz w:val="22"/>
        </w:rPr>
      </w:pPr>
      <w:r>
        <w:rPr>
          <w:sz w:val="22"/>
        </w:rPr>
        <w:t>Die Gesellschaft ist weder im Bereich des Umweltschutzes noch im Bereich der arbeitsrechtlichen Beziehungen tätig.</w:t>
      </w:r>
    </w:p>
    <w:p w14:paraId="08D6A510" w14:textId="4B0C6239" w:rsidR="002800E3" w:rsidRPr="002F75FF" w:rsidRDefault="002800E3" w:rsidP="00BA2ACB">
      <w:pPr>
        <w:spacing w:after="240" w:line="276" w:lineRule="auto"/>
        <w:rPr>
          <w:b/>
          <w:bCs/>
          <w:color w:val="009DA8"/>
          <w:spacing w:val="-4"/>
          <w:sz w:val="22"/>
          <w:szCs w:val="22"/>
        </w:rPr>
      </w:pPr>
      <w:r w:rsidRPr="002F75FF">
        <w:rPr>
          <w:b/>
          <w:color w:val="009DA8"/>
          <w:spacing w:val="-4"/>
          <w:sz w:val="22"/>
        </w:rPr>
        <w:lastRenderedPageBreak/>
        <w:t xml:space="preserve">Angaben darüber, ob die Gesellschaft eine Zweigstelle oder einen anderen Teil einer Betriebsstätte im Ausland hat (§ 21 Abs. 2 </w:t>
      </w:r>
      <w:proofErr w:type="spellStart"/>
      <w:r w:rsidRPr="002F75FF">
        <w:rPr>
          <w:b/>
          <w:color w:val="009DA8"/>
          <w:spacing w:val="-4"/>
          <w:sz w:val="22"/>
        </w:rPr>
        <w:t>Lit</w:t>
      </w:r>
      <w:proofErr w:type="spellEnd"/>
      <w:r w:rsidRPr="002F75FF">
        <w:rPr>
          <w:b/>
          <w:color w:val="009DA8"/>
          <w:spacing w:val="-4"/>
          <w:sz w:val="22"/>
        </w:rPr>
        <w:t>. f) des Gesetzes über die Rechnungslegung)</w:t>
      </w:r>
    </w:p>
    <w:p w14:paraId="2D870532" w14:textId="622A9A5A" w:rsidR="002800E3" w:rsidRDefault="002800E3" w:rsidP="00040DF2">
      <w:pPr>
        <w:jc w:val="both"/>
        <w:rPr>
          <w:sz w:val="22"/>
          <w:szCs w:val="22"/>
        </w:rPr>
      </w:pPr>
      <w:r>
        <w:rPr>
          <w:sz w:val="22"/>
        </w:rPr>
        <w:t>Die Gesellschaft hat keine Organisationseinheit im Ausland.</w:t>
      </w:r>
    </w:p>
    <w:p w14:paraId="17706323" w14:textId="4D97F388" w:rsidR="00F72271" w:rsidRDefault="00F72271" w:rsidP="00040DF2">
      <w:pPr>
        <w:jc w:val="both"/>
        <w:rPr>
          <w:sz w:val="22"/>
          <w:szCs w:val="22"/>
        </w:rPr>
      </w:pPr>
    </w:p>
    <w:p w14:paraId="59667CA0" w14:textId="77777777" w:rsidR="00F72271" w:rsidRPr="00AD1EE2" w:rsidRDefault="00F72271" w:rsidP="00040DF2">
      <w:pPr>
        <w:jc w:val="both"/>
        <w:rPr>
          <w:sz w:val="22"/>
          <w:szCs w:val="22"/>
        </w:rPr>
      </w:pPr>
    </w:p>
    <w:p w14:paraId="2FDF135A" w14:textId="77777777" w:rsidR="002800E3" w:rsidRPr="002F75FF" w:rsidRDefault="002800E3" w:rsidP="00BA2ACB">
      <w:pPr>
        <w:spacing w:after="240" w:line="276" w:lineRule="auto"/>
        <w:rPr>
          <w:b/>
          <w:bCs/>
          <w:color w:val="009DA8"/>
          <w:spacing w:val="-4"/>
          <w:sz w:val="22"/>
          <w:szCs w:val="22"/>
        </w:rPr>
      </w:pPr>
      <w:r w:rsidRPr="002F75FF">
        <w:rPr>
          <w:b/>
          <w:color w:val="009DA8"/>
          <w:spacing w:val="-4"/>
          <w:sz w:val="22"/>
        </w:rPr>
        <w:t xml:space="preserve">Entwicklung des Aktienwerts im Berichtszeitraum in grafischer Form (§ 291 Abs. 3 </w:t>
      </w:r>
      <w:proofErr w:type="spellStart"/>
      <w:r w:rsidRPr="002F75FF">
        <w:rPr>
          <w:b/>
          <w:color w:val="009DA8"/>
          <w:spacing w:val="-4"/>
          <w:sz w:val="22"/>
        </w:rPr>
        <w:t>InvG</w:t>
      </w:r>
      <w:proofErr w:type="spellEnd"/>
      <w:r w:rsidRPr="002F75FF">
        <w:rPr>
          <w:b/>
          <w:color w:val="009DA8"/>
          <w:spacing w:val="-4"/>
          <w:sz w:val="22"/>
        </w:rPr>
        <w:t xml:space="preserve"> in Verbindung mit dem Anhang Nr. 2 </w:t>
      </w:r>
      <w:proofErr w:type="spellStart"/>
      <w:r w:rsidRPr="002F75FF">
        <w:rPr>
          <w:b/>
          <w:color w:val="009DA8"/>
          <w:spacing w:val="-4"/>
          <w:sz w:val="22"/>
        </w:rPr>
        <w:t>Lit</w:t>
      </w:r>
      <w:proofErr w:type="spellEnd"/>
      <w:r w:rsidRPr="002F75FF">
        <w:rPr>
          <w:b/>
          <w:color w:val="009DA8"/>
          <w:spacing w:val="-4"/>
          <w:sz w:val="22"/>
        </w:rPr>
        <w:t>. f) des Gesetzes zur näheren Regelung bestimmter Vorschriften des Gesetzes über Investmentgesellschaften und Investmentfonds)</w:t>
      </w:r>
    </w:p>
    <w:p w14:paraId="1BF6226A" w14:textId="4BC7E642" w:rsidR="002800E3" w:rsidRDefault="002800E3" w:rsidP="00040DF2">
      <w:pPr>
        <w:jc w:val="both"/>
        <w:rPr>
          <w:sz w:val="22"/>
          <w:szCs w:val="22"/>
        </w:rPr>
      </w:pPr>
      <w:r>
        <w:rPr>
          <w:sz w:val="22"/>
        </w:rPr>
        <w:t>Die Gesellschaft übt keine Investitionstätigkeit aus. Die Entwicklung des Werts der Investmentaktien ist im Jahresbericht des Teilfonds dargestellt.</w:t>
      </w:r>
    </w:p>
    <w:p w14:paraId="4ED94D8A" w14:textId="01807FA1" w:rsidR="00F72271" w:rsidRDefault="00F72271" w:rsidP="00040DF2">
      <w:pPr>
        <w:jc w:val="both"/>
        <w:rPr>
          <w:sz w:val="22"/>
          <w:szCs w:val="22"/>
        </w:rPr>
      </w:pPr>
    </w:p>
    <w:p w14:paraId="39ACE475" w14:textId="77777777" w:rsidR="00F72271" w:rsidRPr="00AD1EE2" w:rsidRDefault="00F72271" w:rsidP="00040DF2">
      <w:pPr>
        <w:jc w:val="both"/>
        <w:rPr>
          <w:sz w:val="22"/>
          <w:szCs w:val="22"/>
        </w:rPr>
      </w:pPr>
    </w:p>
    <w:p w14:paraId="4C92F142" w14:textId="77777777" w:rsidR="002800E3" w:rsidRPr="00BA2ACB" w:rsidRDefault="002800E3" w:rsidP="00BA2ACB">
      <w:pPr>
        <w:spacing w:after="240" w:line="276" w:lineRule="auto"/>
        <w:rPr>
          <w:b/>
          <w:bCs/>
          <w:color w:val="009DA8"/>
          <w:sz w:val="22"/>
          <w:szCs w:val="22"/>
        </w:rPr>
      </w:pPr>
      <w:r>
        <w:rPr>
          <w:b/>
          <w:color w:val="009DA8"/>
          <w:sz w:val="22"/>
        </w:rPr>
        <w:t xml:space="preserve">Angaben zu der Tätigkeit des Verwalters der Gesellschaft in Bezug auf das Vermögen der Gesellschaft während der Rechnungsperiode (§ 291 Abs. 1 </w:t>
      </w:r>
      <w:proofErr w:type="spellStart"/>
      <w:r>
        <w:rPr>
          <w:b/>
          <w:color w:val="009DA8"/>
          <w:sz w:val="22"/>
        </w:rPr>
        <w:t>InvG</w:t>
      </w:r>
      <w:proofErr w:type="spellEnd"/>
      <w:r>
        <w:rPr>
          <w:b/>
          <w:color w:val="009DA8"/>
          <w:sz w:val="22"/>
        </w:rPr>
        <w:t xml:space="preserve"> in Verbindung mit § 234 Abs. 1 </w:t>
      </w:r>
      <w:proofErr w:type="spellStart"/>
      <w:r>
        <w:rPr>
          <w:b/>
          <w:color w:val="009DA8"/>
          <w:sz w:val="22"/>
        </w:rPr>
        <w:t>Lit</w:t>
      </w:r>
      <w:proofErr w:type="spellEnd"/>
      <w:r>
        <w:rPr>
          <w:b/>
          <w:color w:val="009DA8"/>
          <w:sz w:val="22"/>
        </w:rPr>
        <w:t xml:space="preserve">. b) </w:t>
      </w:r>
      <w:proofErr w:type="spellStart"/>
      <w:r>
        <w:rPr>
          <w:b/>
          <w:color w:val="009DA8"/>
          <w:sz w:val="22"/>
        </w:rPr>
        <w:t>InvG</w:t>
      </w:r>
      <w:proofErr w:type="spellEnd"/>
      <w:r>
        <w:rPr>
          <w:b/>
          <w:color w:val="009DA8"/>
          <w:sz w:val="22"/>
        </w:rPr>
        <w:t xml:space="preserve"> und Artikel 105 der Verordnung)</w:t>
      </w:r>
    </w:p>
    <w:p w14:paraId="3C3E4605" w14:textId="7663E8CE" w:rsidR="002800E3" w:rsidRDefault="002800E3" w:rsidP="00040DF2">
      <w:pPr>
        <w:jc w:val="both"/>
        <w:rPr>
          <w:sz w:val="22"/>
          <w:szCs w:val="22"/>
        </w:rPr>
      </w:pPr>
      <w:r>
        <w:rPr>
          <w:sz w:val="22"/>
        </w:rPr>
        <w:t>Der Verwalter übte während der Rechnungsperiode in Bezug auf die Gesellschaft die übliche Tätigkeit gemäß der Satzung der Gesellschaft aus. Was die Investitionen betrifft, so wurden während der Rechnungsperiode keine Erwerbsverträge abgeschlossen. Die Übersicht über die Tätigkeiten, das Portfolio, die Ergebnisse, die wesentlichen Änderungen der Angaben einschließlich der Überprüfung der Tätigkeiten und der Ergebnisse der Gesellschaft sowie der Beschreibung der Risiken und Anlage- oder wirtschaftlichen Unsicherheiten, denen die Gesellschaft ausgesetzt sein könnte, einschließlich der wichtigsten finanziellen sowie nicht finanziellen Kennzahlen der Ergebnisse in Bezug auf die Gesellschaft, und zwar in einem Umfang, der für das Verständnis der Anlageaktivitäten der Gesellschaft oder der Ergebnisse erforderlich ist, ist im Jahresbericht des Teilfonds aufgeführt.</w:t>
      </w:r>
    </w:p>
    <w:p w14:paraId="71E713B4" w14:textId="48EBDDBF" w:rsidR="00BA2ACB" w:rsidRDefault="00BA2ACB" w:rsidP="00040DF2">
      <w:pPr>
        <w:jc w:val="both"/>
        <w:rPr>
          <w:sz w:val="22"/>
          <w:szCs w:val="22"/>
        </w:rPr>
      </w:pPr>
    </w:p>
    <w:p w14:paraId="1BA6BDE2" w14:textId="77777777" w:rsidR="00BA2ACB" w:rsidRPr="00AD1EE2" w:rsidRDefault="00BA2ACB" w:rsidP="00040DF2">
      <w:pPr>
        <w:jc w:val="both"/>
        <w:rPr>
          <w:sz w:val="22"/>
          <w:szCs w:val="22"/>
        </w:rPr>
      </w:pPr>
    </w:p>
    <w:p w14:paraId="3C110DE0" w14:textId="77777777" w:rsidR="002800E3" w:rsidRPr="002F75FF" w:rsidRDefault="002800E3" w:rsidP="00BA2ACB">
      <w:pPr>
        <w:spacing w:after="320" w:line="276" w:lineRule="auto"/>
        <w:rPr>
          <w:b/>
          <w:bCs/>
          <w:color w:val="009DA8"/>
          <w:spacing w:val="-3"/>
          <w:sz w:val="22"/>
          <w:szCs w:val="22"/>
        </w:rPr>
      </w:pPr>
      <w:r w:rsidRPr="002F75FF">
        <w:rPr>
          <w:b/>
          <w:color w:val="009DA8"/>
          <w:spacing w:val="-3"/>
          <w:sz w:val="22"/>
        </w:rPr>
        <w:t xml:space="preserve">Identifikationsangaben jeder Person, die die Vermögensverwaltung (Vermögensverwalter) bzw. des externen Verwalters der Gesellschaft während des Berichtszeitraums und zum Zeitraum, in dem sie diese Tätigkeit ausübte, einschließlich einer kurzen Beschreibung ihrer Erfahrungen und Kenntnisse (§ 291 Abs. 3 </w:t>
      </w:r>
      <w:proofErr w:type="spellStart"/>
      <w:r w:rsidRPr="002F75FF">
        <w:rPr>
          <w:b/>
          <w:color w:val="009DA8"/>
          <w:spacing w:val="-3"/>
          <w:sz w:val="22"/>
        </w:rPr>
        <w:t>InvG</w:t>
      </w:r>
      <w:proofErr w:type="spellEnd"/>
      <w:r w:rsidRPr="002F75FF">
        <w:rPr>
          <w:b/>
          <w:color w:val="009DA8"/>
          <w:spacing w:val="-3"/>
          <w:sz w:val="22"/>
        </w:rPr>
        <w:t xml:space="preserve"> in Verbindung mit dem Anhang Nr. 2 </w:t>
      </w:r>
      <w:proofErr w:type="spellStart"/>
      <w:r w:rsidRPr="002F75FF">
        <w:rPr>
          <w:b/>
          <w:color w:val="009DA8"/>
          <w:spacing w:val="-3"/>
          <w:sz w:val="22"/>
        </w:rPr>
        <w:t>Lit</w:t>
      </w:r>
      <w:proofErr w:type="spellEnd"/>
      <w:r w:rsidRPr="002F75FF">
        <w:rPr>
          <w:b/>
          <w:color w:val="009DA8"/>
          <w:spacing w:val="-3"/>
          <w:sz w:val="22"/>
        </w:rPr>
        <w:t>. a) des Gesetzes zur näheren Regelung bestimmter Vorschriften des Gesetzes über Investmentgesellschaften und Investmentfonds)</w:t>
      </w:r>
    </w:p>
    <w:p w14:paraId="754E1EF7" w14:textId="77777777" w:rsidR="002800E3" w:rsidRPr="00AD1EE2" w:rsidRDefault="002800E3" w:rsidP="00BA2ACB">
      <w:pPr>
        <w:spacing w:line="259" w:lineRule="auto"/>
        <w:jc w:val="both"/>
        <w:rPr>
          <w:sz w:val="22"/>
          <w:szCs w:val="22"/>
        </w:rPr>
      </w:pPr>
      <w:r>
        <w:rPr>
          <w:sz w:val="22"/>
        </w:rPr>
        <w:t xml:space="preserve">Vor- und Nachname: Ing. Michal </w:t>
      </w:r>
      <w:proofErr w:type="spellStart"/>
      <w:r>
        <w:rPr>
          <w:sz w:val="22"/>
        </w:rPr>
        <w:t>Sedlák</w:t>
      </w:r>
      <w:proofErr w:type="spellEnd"/>
      <w:r>
        <w:rPr>
          <w:sz w:val="22"/>
        </w:rPr>
        <w:t>, MBA</w:t>
      </w:r>
    </w:p>
    <w:p w14:paraId="5106ECB4" w14:textId="77777777" w:rsidR="002800E3" w:rsidRPr="00AD1EE2" w:rsidRDefault="002800E3" w:rsidP="00BA2ACB">
      <w:pPr>
        <w:spacing w:line="259" w:lineRule="auto"/>
        <w:jc w:val="both"/>
        <w:rPr>
          <w:sz w:val="22"/>
          <w:szCs w:val="22"/>
        </w:rPr>
      </w:pPr>
      <w:r>
        <w:rPr>
          <w:sz w:val="22"/>
        </w:rPr>
        <w:t>Weitere Identifikationsangaben: geb. am 17. März 1968</w:t>
      </w:r>
    </w:p>
    <w:p w14:paraId="11B3A2B7" w14:textId="77777777" w:rsidR="002800E3" w:rsidRPr="00A73148" w:rsidRDefault="002800E3" w:rsidP="00BA2ACB">
      <w:pPr>
        <w:spacing w:line="259" w:lineRule="auto"/>
        <w:jc w:val="both"/>
        <w:rPr>
          <w:spacing w:val="-5"/>
          <w:sz w:val="22"/>
          <w:szCs w:val="22"/>
        </w:rPr>
      </w:pPr>
      <w:r w:rsidRPr="00A73148">
        <w:rPr>
          <w:spacing w:val="-5"/>
          <w:sz w:val="22"/>
        </w:rPr>
        <w:t>Ausübung der Tätigkeit des Asset Managers für die Gesellschaft: ab dem 1. Oktober 2021 bis heute</w:t>
      </w:r>
    </w:p>
    <w:p w14:paraId="3375FA7B" w14:textId="14A22560" w:rsidR="002800E3" w:rsidRPr="00AD1EE2" w:rsidRDefault="002800E3" w:rsidP="00BA2ACB">
      <w:pPr>
        <w:spacing w:line="259" w:lineRule="auto"/>
        <w:jc w:val="both"/>
        <w:rPr>
          <w:sz w:val="22"/>
          <w:szCs w:val="22"/>
        </w:rPr>
      </w:pPr>
      <w:r>
        <w:rPr>
          <w:sz w:val="22"/>
        </w:rPr>
        <w:t xml:space="preserve">Kenntnisse und Erfahrungen als Asset Manager: abgeschlossenes Hochschulstudium im Bereich der Wirtschaft. Ab dem 1.4.2019 ist er bei CODYA </w:t>
      </w:r>
      <w:proofErr w:type="spellStart"/>
      <w:r>
        <w:rPr>
          <w:sz w:val="22"/>
        </w:rPr>
        <w:t>investiční</w:t>
      </w:r>
      <w:proofErr w:type="spellEnd"/>
      <w:r>
        <w:rPr>
          <w:sz w:val="22"/>
        </w:rPr>
        <w:t xml:space="preserve"> </w:t>
      </w:r>
      <w:proofErr w:type="spellStart"/>
      <w:r>
        <w:rPr>
          <w:sz w:val="22"/>
        </w:rPr>
        <w:t>společnost</w:t>
      </w:r>
      <w:proofErr w:type="spellEnd"/>
      <w:r>
        <w:rPr>
          <w:sz w:val="22"/>
        </w:rPr>
        <w:t xml:space="preserve">, </w:t>
      </w:r>
      <w:proofErr w:type="spellStart"/>
      <w:r>
        <w:rPr>
          <w:sz w:val="22"/>
        </w:rPr>
        <w:t>a.s.</w:t>
      </w:r>
      <w:proofErr w:type="spellEnd"/>
      <w:r>
        <w:rPr>
          <w:sz w:val="22"/>
        </w:rPr>
        <w:t xml:space="preserve"> tätig, zunächst als Leiter der Abteilung für Analysen im Referat Portfoliomanagement und ab dem 1.10.2021 als Direktor des Referats Portfoliomanagement und Vorstandsmitglied. In seinen früheren Positionen bei den Banken </w:t>
      </w:r>
      <w:proofErr w:type="spellStart"/>
      <w:r>
        <w:rPr>
          <w:sz w:val="22"/>
        </w:rPr>
        <w:t>Komerční</w:t>
      </w:r>
      <w:proofErr w:type="spellEnd"/>
      <w:r>
        <w:rPr>
          <w:sz w:val="22"/>
        </w:rPr>
        <w:t xml:space="preserve"> </w:t>
      </w:r>
      <w:proofErr w:type="spellStart"/>
      <w:r>
        <w:rPr>
          <w:sz w:val="22"/>
        </w:rPr>
        <w:t>banka</w:t>
      </w:r>
      <w:proofErr w:type="spellEnd"/>
      <w:r>
        <w:rPr>
          <w:sz w:val="22"/>
        </w:rPr>
        <w:t xml:space="preserve"> </w:t>
      </w:r>
      <w:proofErr w:type="spellStart"/>
      <w:r>
        <w:rPr>
          <w:sz w:val="22"/>
        </w:rPr>
        <w:t>a.s.</w:t>
      </w:r>
      <w:proofErr w:type="spellEnd"/>
      <w:r>
        <w:rPr>
          <w:sz w:val="22"/>
        </w:rPr>
        <w:t xml:space="preserve">, Raiffeisenbank </w:t>
      </w:r>
      <w:proofErr w:type="spellStart"/>
      <w:r>
        <w:rPr>
          <w:sz w:val="22"/>
        </w:rPr>
        <w:t>a.s.</w:t>
      </w:r>
      <w:proofErr w:type="spellEnd"/>
      <w:r>
        <w:rPr>
          <w:sz w:val="22"/>
        </w:rPr>
        <w:t xml:space="preserve"> und </w:t>
      </w:r>
      <w:proofErr w:type="spellStart"/>
      <w:r>
        <w:rPr>
          <w:sz w:val="22"/>
        </w:rPr>
        <w:t>Československá</w:t>
      </w:r>
      <w:proofErr w:type="spellEnd"/>
      <w:r>
        <w:rPr>
          <w:sz w:val="22"/>
        </w:rPr>
        <w:t xml:space="preserve"> </w:t>
      </w:r>
      <w:proofErr w:type="spellStart"/>
      <w:r>
        <w:rPr>
          <w:sz w:val="22"/>
        </w:rPr>
        <w:t>obchodní</w:t>
      </w:r>
      <w:proofErr w:type="spellEnd"/>
      <w:r>
        <w:rPr>
          <w:sz w:val="22"/>
        </w:rPr>
        <w:t xml:space="preserve"> </w:t>
      </w:r>
      <w:proofErr w:type="spellStart"/>
      <w:r>
        <w:rPr>
          <w:sz w:val="22"/>
        </w:rPr>
        <w:t>banka</w:t>
      </w:r>
      <w:proofErr w:type="spellEnd"/>
      <w:r>
        <w:rPr>
          <w:sz w:val="22"/>
        </w:rPr>
        <w:t xml:space="preserve"> </w:t>
      </w:r>
      <w:proofErr w:type="spellStart"/>
      <w:r>
        <w:rPr>
          <w:sz w:val="22"/>
        </w:rPr>
        <w:t>a.s.</w:t>
      </w:r>
      <w:proofErr w:type="spellEnd"/>
      <w:r>
        <w:rPr>
          <w:sz w:val="22"/>
        </w:rPr>
        <w:t xml:space="preserve"> war er langfristig für das Portfoliomanagement der Verwaltung des Vermögens der Bank, für Analysen und die Finanzierung verantwortlich.</w:t>
      </w:r>
    </w:p>
    <w:p w14:paraId="7D6963E8" w14:textId="77777777" w:rsidR="00BA2ACB" w:rsidRDefault="00BA2ACB" w:rsidP="00BA2ACB">
      <w:pPr>
        <w:spacing w:line="259" w:lineRule="auto"/>
        <w:jc w:val="both"/>
        <w:rPr>
          <w:sz w:val="22"/>
          <w:szCs w:val="22"/>
        </w:rPr>
      </w:pPr>
    </w:p>
    <w:p w14:paraId="50171CC5" w14:textId="076802B3" w:rsidR="002800E3" w:rsidRPr="00BA2ACB" w:rsidRDefault="002800E3" w:rsidP="003B027F">
      <w:pPr>
        <w:spacing w:after="320" w:line="276" w:lineRule="auto"/>
        <w:jc w:val="both"/>
        <w:rPr>
          <w:b/>
          <w:bCs/>
          <w:color w:val="009DA8"/>
          <w:sz w:val="22"/>
          <w:szCs w:val="22"/>
        </w:rPr>
      </w:pPr>
      <w:r>
        <w:rPr>
          <w:b/>
          <w:color w:val="009DA8"/>
          <w:sz w:val="22"/>
        </w:rPr>
        <w:lastRenderedPageBreak/>
        <w:t>Identifikationsangaben jeder Verwahrstelle der Gesellschaft während des Berichtszeitraums und des Zeitraums, in dem sie als Verwahrstelle tätig war (§ 291 Abs.</w:t>
      </w:r>
      <w:r w:rsidR="00A73148">
        <w:rPr>
          <w:b/>
          <w:color w:val="009DA8"/>
          <w:sz w:val="22"/>
        </w:rPr>
        <w:t> </w:t>
      </w:r>
      <w:r>
        <w:rPr>
          <w:b/>
          <w:color w:val="009DA8"/>
          <w:sz w:val="22"/>
        </w:rPr>
        <w:t xml:space="preserve">3 </w:t>
      </w:r>
      <w:proofErr w:type="spellStart"/>
      <w:r>
        <w:rPr>
          <w:b/>
          <w:color w:val="009DA8"/>
          <w:sz w:val="22"/>
        </w:rPr>
        <w:t>InvG</w:t>
      </w:r>
      <w:proofErr w:type="spellEnd"/>
      <w:r>
        <w:rPr>
          <w:b/>
          <w:color w:val="009DA8"/>
          <w:sz w:val="22"/>
        </w:rPr>
        <w:t xml:space="preserve"> in Verbindung mit dem Anhang Nr. 2 </w:t>
      </w:r>
      <w:proofErr w:type="spellStart"/>
      <w:r>
        <w:rPr>
          <w:b/>
          <w:color w:val="009DA8"/>
          <w:sz w:val="22"/>
        </w:rPr>
        <w:t>Lit</w:t>
      </w:r>
      <w:proofErr w:type="spellEnd"/>
      <w:r>
        <w:rPr>
          <w:b/>
          <w:color w:val="009DA8"/>
          <w:sz w:val="22"/>
        </w:rPr>
        <w:t>. b) des Gesetzes zur näheren Regelung bestimmter Vorschriften des Gesetzes über Investmentgesellschaften und Investmentfonds)</w:t>
      </w:r>
    </w:p>
    <w:p w14:paraId="21B79479" w14:textId="77777777" w:rsidR="002800E3" w:rsidRPr="00AD1EE2" w:rsidRDefault="002800E3" w:rsidP="00040DF2">
      <w:pPr>
        <w:jc w:val="both"/>
        <w:rPr>
          <w:sz w:val="22"/>
          <w:szCs w:val="22"/>
        </w:rPr>
      </w:pPr>
      <w:r>
        <w:rPr>
          <w:sz w:val="22"/>
        </w:rPr>
        <w:t xml:space="preserve">Name: </w:t>
      </w:r>
      <w:proofErr w:type="spellStart"/>
      <w:r>
        <w:rPr>
          <w:sz w:val="22"/>
        </w:rPr>
        <w:t>Česká</w:t>
      </w:r>
      <w:proofErr w:type="spellEnd"/>
      <w:r>
        <w:rPr>
          <w:sz w:val="22"/>
        </w:rPr>
        <w:t xml:space="preserve"> </w:t>
      </w:r>
      <w:proofErr w:type="spellStart"/>
      <w:r>
        <w:rPr>
          <w:sz w:val="22"/>
        </w:rPr>
        <w:t>spořitelna</w:t>
      </w:r>
      <w:proofErr w:type="spellEnd"/>
      <w:r>
        <w:rPr>
          <w:sz w:val="22"/>
        </w:rPr>
        <w:t xml:space="preserve">, </w:t>
      </w:r>
      <w:proofErr w:type="spellStart"/>
      <w:r>
        <w:rPr>
          <w:sz w:val="22"/>
        </w:rPr>
        <w:t>a.s.</w:t>
      </w:r>
      <w:proofErr w:type="spellEnd"/>
    </w:p>
    <w:p w14:paraId="1AC7B6CF" w14:textId="77777777" w:rsidR="002800E3" w:rsidRPr="00AD1EE2" w:rsidRDefault="002800E3" w:rsidP="00B74F2C">
      <w:pPr>
        <w:spacing w:line="259" w:lineRule="auto"/>
        <w:jc w:val="both"/>
        <w:rPr>
          <w:sz w:val="22"/>
          <w:szCs w:val="22"/>
        </w:rPr>
      </w:pPr>
      <w:r>
        <w:rPr>
          <w:sz w:val="22"/>
        </w:rPr>
        <w:t>Ident.-Nr.: 45244782</w:t>
      </w:r>
    </w:p>
    <w:p w14:paraId="7ABCD64C" w14:textId="77777777" w:rsidR="002800E3" w:rsidRPr="00AD1EE2" w:rsidRDefault="002800E3" w:rsidP="00B74F2C">
      <w:pPr>
        <w:spacing w:line="259" w:lineRule="auto"/>
        <w:jc w:val="both"/>
        <w:rPr>
          <w:sz w:val="22"/>
          <w:szCs w:val="22"/>
        </w:rPr>
      </w:pPr>
      <w:r>
        <w:rPr>
          <w:sz w:val="22"/>
        </w:rPr>
        <w:t xml:space="preserve">Sitz: </w:t>
      </w:r>
      <w:proofErr w:type="spellStart"/>
      <w:r>
        <w:rPr>
          <w:sz w:val="22"/>
        </w:rPr>
        <w:t>Olbrachtova</w:t>
      </w:r>
      <w:proofErr w:type="spellEnd"/>
      <w:r>
        <w:rPr>
          <w:sz w:val="22"/>
        </w:rPr>
        <w:t xml:space="preserve"> 1929/62, PLZ 140 00, Praha 4</w:t>
      </w:r>
    </w:p>
    <w:p w14:paraId="39761D2B" w14:textId="77777777" w:rsidR="002800E3" w:rsidRPr="00A73148" w:rsidRDefault="002800E3" w:rsidP="00B74F2C">
      <w:pPr>
        <w:spacing w:line="259" w:lineRule="auto"/>
        <w:jc w:val="both"/>
        <w:rPr>
          <w:spacing w:val="-4"/>
          <w:sz w:val="22"/>
          <w:szCs w:val="22"/>
        </w:rPr>
      </w:pPr>
      <w:r w:rsidRPr="00A73148">
        <w:rPr>
          <w:spacing w:val="-4"/>
          <w:sz w:val="22"/>
        </w:rPr>
        <w:t>Ausübung der Tätigkeit der Verwahrstelle für die Gesellschaft: der gesamte Rechnungszeitraum</w:t>
      </w:r>
    </w:p>
    <w:p w14:paraId="0349C255" w14:textId="10F81AC0" w:rsidR="002800E3" w:rsidRPr="003B027F" w:rsidRDefault="002800E3" w:rsidP="003B027F">
      <w:pPr>
        <w:spacing w:before="320" w:after="240" w:line="276" w:lineRule="auto"/>
        <w:jc w:val="both"/>
        <w:rPr>
          <w:b/>
          <w:bCs/>
          <w:color w:val="009DA8"/>
          <w:sz w:val="22"/>
          <w:szCs w:val="22"/>
        </w:rPr>
      </w:pPr>
      <w:r>
        <w:rPr>
          <w:b/>
          <w:color w:val="009DA8"/>
          <w:sz w:val="22"/>
        </w:rPr>
        <w:t xml:space="preserve">Identifikationsangaben jeder Person, die mit der Verwahrung oder Betreuung des Vermögens der Gesellschaft beauftragt ist, sofern mehr als 1 % des Wertes des Vermögens der Gesellschaft bei dieser Person hinterlegt ist (§ 291 Abs. 3 </w:t>
      </w:r>
      <w:proofErr w:type="spellStart"/>
      <w:r>
        <w:rPr>
          <w:b/>
          <w:color w:val="009DA8"/>
          <w:sz w:val="22"/>
        </w:rPr>
        <w:t>InvG</w:t>
      </w:r>
      <w:proofErr w:type="spellEnd"/>
      <w:r>
        <w:rPr>
          <w:b/>
          <w:color w:val="009DA8"/>
          <w:sz w:val="22"/>
        </w:rPr>
        <w:t xml:space="preserve"> in Verbindung mit dem Anhang Nr. 2 </w:t>
      </w:r>
      <w:proofErr w:type="spellStart"/>
      <w:r>
        <w:rPr>
          <w:b/>
          <w:color w:val="009DA8"/>
          <w:sz w:val="22"/>
        </w:rPr>
        <w:t>Lit</w:t>
      </w:r>
      <w:proofErr w:type="spellEnd"/>
      <w:r>
        <w:rPr>
          <w:b/>
          <w:color w:val="009DA8"/>
          <w:sz w:val="22"/>
        </w:rPr>
        <w:t>. c) des Gesetzes zur näheren Regelung bestimmter Vorschriften des Gesetzes über Investmentgesellschaften und Investmentfonds)</w:t>
      </w:r>
    </w:p>
    <w:p w14:paraId="3FB0E3D6" w14:textId="77777777" w:rsidR="002800E3" w:rsidRPr="00AD1EE2" w:rsidRDefault="002800E3" w:rsidP="00040DF2">
      <w:pPr>
        <w:jc w:val="both"/>
        <w:rPr>
          <w:sz w:val="22"/>
          <w:szCs w:val="22"/>
        </w:rPr>
      </w:pPr>
      <w:r>
        <w:rPr>
          <w:sz w:val="22"/>
        </w:rPr>
        <w:t>Während der Rechnungsperiode wurde von der Verwahrstelle keine solche Person beauftragt.</w:t>
      </w:r>
    </w:p>
    <w:p w14:paraId="002161FD" w14:textId="5D9254C5" w:rsidR="002800E3" w:rsidRPr="003B027F" w:rsidRDefault="002800E3" w:rsidP="003B027F">
      <w:pPr>
        <w:spacing w:before="320" w:after="240" w:line="276" w:lineRule="auto"/>
        <w:jc w:val="both"/>
        <w:rPr>
          <w:b/>
          <w:bCs/>
          <w:color w:val="009DA8"/>
          <w:sz w:val="22"/>
          <w:szCs w:val="22"/>
        </w:rPr>
      </w:pPr>
      <w:r>
        <w:rPr>
          <w:b/>
          <w:color w:val="009DA8"/>
          <w:sz w:val="22"/>
        </w:rPr>
        <w:t xml:space="preserve">Identifikationsdaten jeder zur Erbringung von Investitionsdienstleistungen befugten Person, die während des Berichtszeitraums die Tätigkeit des Hauptunterstützers in Bezug auf das Vermögen der Gesellschaft ausgeübt hat, und Angabe zum Zeitraum, in dem sie diese Tätigkeit ausgeübt hat (§ 291 Abs. 3 </w:t>
      </w:r>
      <w:proofErr w:type="spellStart"/>
      <w:r>
        <w:rPr>
          <w:b/>
          <w:color w:val="009DA8"/>
          <w:sz w:val="22"/>
        </w:rPr>
        <w:t>InvG</w:t>
      </w:r>
      <w:proofErr w:type="spellEnd"/>
      <w:r>
        <w:rPr>
          <w:b/>
          <w:color w:val="009DA8"/>
          <w:sz w:val="22"/>
        </w:rPr>
        <w:t xml:space="preserve"> in Verbindung mit dem Anhang Nr. 2 </w:t>
      </w:r>
      <w:proofErr w:type="spellStart"/>
      <w:r>
        <w:rPr>
          <w:b/>
          <w:color w:val="009DA8"/>
          <w:sz w:val="22"/>
        </w:rPr>
        <w:t>Lit</w:t>
      </w:r>
      <w:proofErr w:type="spellEnd"/>
      <w:r>
        <w:rPr>
          <w:b/>
          <w:color w:val="009DA8"/>
          <w:sz w:val="22"/>
        </w:rPr>
        <w:t>. d) des Gesetzes zur näheren Regelung bestimmter Vorschriften des Gesetzes über Investmentgesellschaften und Investmentfonds)</w:t>
      </w:r>
    </w:p>
    <w:p w14:paraId="1BB8D7D7" w14:textId="77777777" w:rsidR="002800E3" w:rsidRPr="00AD1EE2" w:rsidRDefault="002800E3" w:rsidP="00040DF2">
      <w:pPr>
        <w:jc w:val="both"/>
        <w:rPr>
          <w:sz w:val="22"/>
          <w:szCs w:val="22"/>
        </w:rPr>
      </w:pPr>
      <w:r>
        <w:rPr>
          <w:sz w:val="22"/>
        </w:rPr>
        <w:t>Während der Rechnungsperiode nahm die Gesellschaft die Dienste eines Hauptunterstützers nicht in Anspruch.</w:t>
      </w:r>
    </w:p>
    <w:p w14:paraId="1D3D1E0A" w14:textId="77777777" w:rsidR="002800E3" w:rsidRPr="003B027F" w:rsidRDefault="002800E3" w:rsidP="003B027F">
      <w:pPr>
        <w:spacing w:before="320" w:after="240" w:line="276" w:lineRule="auto"/>
        <w:jc w:val="both"/>
        <w:rPr>
          <w:b/>
          <w:bCs/>
          <w:color w:val="009DA8"/>
          <w:sz w:val="22"/>
          <w:szCs w:val="22"/>
        </w:rPr>
      </w:pPr>
      <w:r>
        <w:rPr>
          <w:b/>
          <w:color w:val="009DA8"/>
          <w:sz w:val="22"/>
        </w:rPr>
        <w:t xml:space="preserve">Identifizierung des Vermögens, sofern dessen Wert 1 % des Werts des Vermögens der Gesellschaft zum Tag der für diesen Bericht verwendeten Bewertung übersteigt, unter Angabe des gesamten Anschaffungspreises und des beizulegenden Zeitwerts am Ende des Berichtszeitraums (§ 291 Abs. 3 </w:t>
      </w:r>
      <w:proofErr w:type="spellStart"/>
      <w:r>
        <w:rPr>
          <w:b/>
          <w:color w:val="009DA8"/>
          <w:sz w:val="22"/>
        </w:rPr>
        <w:t>InvG</w:t>
      </w:r>
      <w:proofErr w:type="spellEnd"/>
      <w:r>
        <w:rPr>
          <w:b/>
          <w:color w:val="009DA8"/>
          <w:sz w:val="22"/>
        </w:rPr>
        <w:t xml:space="preserve"> in Verbindung mit dem Anhang Nr. 2 </w:t>
      </w:r>
      <w:proofErr w:type="spellStart"/>
      <w:r>
        <w:rPr>
          <w:b/>
          <w:color w:val="009DA8"/>
          <w:sz w:val="22"/>
        </w:rPr>
        <w:t>Lit</w:t>
      </w:r>
      <w:proofErr w:type="spellEnd"/>
      <w:r>
        <w:rPr>
          <w:b/>
          <w:color w:val="009DA8"/>
          <w:sz w:val="22"/>
        </w:rPr>
        <w:t>. e) des Gesetzes zur näheren Regelung bestimmter Vorschriften des Gesetzes über Investmentgesellschaften und Investmentfonds)</w:t>
      </w:r>
    </w:p>
    <w:p w14:paraId="4CB619B5" w14:textId="77777777" w:rsidR="002800E3" w:rsidRPr="00AD1EE2" w:rsidRDefault="002800E3" w:rsidP="00040DF2">
      <w:pPr>
        <w:jc w:val="both"/>
        <w:rPr>
          <w:sz w:val="22"/>
          <w:szCs w:val="22"/>
        </w:rPr>
      </w:pPr>
      <w:r>
        <w:rPr>
          <w:sz w:val="22"/>
        </w:rPr>
        <w:t>Die Gesellschaft dient lediglich dazu, die Voraussetzungen für die Ausübung der Tätigkeit des Teilfonds zu gewährleisten. Sämtliche Informationen in Bezug auf das Vermögen des Teilfonds sind im Jahresbericht des Teilfonds enthalten.</w:t>
      </w:r>
    </w:p>
    <w:p w14:paraId="010517D0" w14:textId="77777777" w:rsidR="002800E3" w:rsidRPr="00A73148" w:rsidRDefault="002800E3" w:rsidP="003B027F">
      <w:pPr>
        <w:spacing w:before="320" w:after="280" w:line="264" w:lineRule="auto"/>
        <w:jc w:val="both"/>
        <w:rPr>
          <w:b/>
          <w:bCs/>
          <w:color w:val="009DA8"/>
          <w:spacing w:val="-2"/>
          <w:sz w:val="22"/>
          <w:szCs w:val="22"/>
        </w:rPr>
      </w:pPr>
      <w:r w:rsidRPr="00A73148">
        <w:rPr>
          <w:b/>
          <w:color w:val="009DA8"/>
          <w:spacing w:val="-2"/>
          <w:sz w:val="22"/>
        </w:rPr>
        <w:t xml:space="preserve">Gerichts- oder Schiedsgerichtsverfahren, die das Vermögen oder die Ansprüche von Inhabern von Wertpapieren oder eingebuchten Wertpapieren, die von der Gesellschaft ausgegeben werden, betreffen, wenn der Wert des Streitgegenstandes 5 % des Werts des Vermögens der Gesellschaft im Berichtszeitraum übersteigt, einschließlich der Angaben zu allen etwaigen staatlichen, gerichtlichen oder schiedsgerichtlichen Verfahren während </w:t>
      </w:r>
      <w:r w:rsidRPr="00A73148">
        <w:rPr>
          <w:b/>
          <w:color w:val="009DA8"/>
          <w:spacing w:val="-2"/>
          <w:sz w:val="22"/>
        </w:rPr>
        <w:lastRenderedPageBreak/>
        <w:t xml:space="preserve">der Rechnungsperiode, die sich auf die Finanzlage oder die Gewinnfähigkeit der Gesellschaft oder ihrer Gruppe auswirken könnten oder in jüngster Zeit ausgewirkt haben, oder eine Erklärung, dass keine derartigen Verfahren bestehen (§ 291 Abs. 3 </w:t>
      </w:r>
      <w:proofErr w:type="spellStart"/>
      <w:r w:rsidRPr="00A73148">
        <w:rPr>
          <w:b/>
          <w:color w:val="009DA8"/>
          <w:spacing w:val="-2"/>
          <w:sz w:val="22"/>
        </w:rPr>
        <w:t>InvG</w:t>
      </w:r>
      <w:proofErr w:type="spellEnd"/>
      <w:r w:rsidRPr="00A73148">
        <w:rPr>
          <w:b/>
          <w:color w:val="009DA8"/>
          <w:spacing w:val="-2"/>
          <w:sz w:val="22"/>
        </w:rPr>
        <w:t xml:space="preserve"> in Verbindung mit Anhang Nr. 2 </w:t>
      </w:r>
      <w:proofErr w:type="spellStart"/>
      <w:r w:rsidRPr="00A73148">
        <w:rPr>
          <w:b/>
          <w:color w:val="009DA8"/>
          <w:spacing w:val="-2"/>
          <w:sz w:val="22"/>
        </w:rPr>
        <w:t>Lit</w:t>
      </w:r>
      <w:proofErr w:type="spellEnd"/>
      <w:r w:rsidRPr="00A73148">
        <w:rPr>
          <w:b/>
          <w:color w:val="009DA8"/>
          <w:spacing w:val="-2"/>
          <w:sz w:val="22"/>
        </w:rPr>
        <w:t>. g) des Gesetzes zur näheren Regelung bestimmter Vorschriften des Gesetzes über Investmentgesellschaften und Investmentfonds)</w:t>
      </w:r>
    </w:p>
    <w:p w14:paraId="3B6F3EFC" w14:textId="77777777" w:rsidR="002800E3" w:rsidRPr="00AD1EE2" w:rsidRDefault="002800E3" w:rsidP="003B027F">
      <w:pPr>
        <w:spacing w:line="264" w:lineRule="auto"/>
        <w:jc w:val="both"/>
        <w:rPr>
          <w:sz w:val="22"/>
          <w:szCs w:val="22"/>
        </w:rPr>
      </w:pPr>
      <w:r>
        <w:rPr>
          <w:sz w:val="22"/>
        </w:rPr>
        <w:t>Während der Rechnungsperiode war die Gesellschaft an keinen Rechtsstreitigkeiten oder Schiedsverfahren beteiligt, die das Vermögen oder Ansprüche von Inhabern der von der Gesellschaft ausgegebenen Wertpapiere oder eingebuchte Wertpapiere betreffen würden, bei denen der Wert des Streitgegenstandes 5 % des Wertes des Vermögens der Gesellschaft während der Rechnungsperiode übersteigen würde.</w:t>
      </w:r>
    </w:p>
    <w:p w14:paraId="3347D32D" w14:textId="77777777" w:rsidR="003B027F" w:rsidRDefault="003B027F" w:rsidP="003B027F">
      <w:pPr>
        <w:spacing w:line="264" w:lineRule="auto"/>
        <w:jc w:val="both"/>
        <w:rPr>
          <w:sz w:val="22"/>
          <w:szCs w:val="22"/>
        </w:rPr>
      </w:pPr>
    </w:p>
    <w:p w14:paraId="35D01AC5" w14:textId="3C4B63FE" w:rsidR="002800E3" w:rsidRPr="00AD1EE2" w:rsidRDefault="002800E3" w:rsidP="00A73148">
      <w:pPr>
        <w:spacing w:line="264" w:lineRule="auto"/>
        <w:jc w:val="both"/>
        <w:rPr>
          <w:sz w:val="22"/>
          <w:szCs w:val="22"/>
        </w:rPr>
      </w:pPr>
      <w:r>
        <w:rPr>
          <w:sz w:val="22"/>
        </w:rPr>
        <w:t>Während der Rechnungsperiode war die Gesellschaft an keinem Verwaltungs-, Gerichts- oder Schiedsverfahren beteiligt, das sich auf die Finanzlage oder die Gewinnfähigkeit der Gesellschaft auswirken könnte oder in der Vergangenheit ausgewirkt hat.</w:t>
      </w:r>
    </w:p>
    <w:p w14:paraId="0B9FD8FA" w14:textId="77777777" w:rsidR="002800E3" w:rsidRPr="003B027F" w:rsidRDefault="002800E3" w:rsidP="003B027F">
      <w:pPr>
        <w:spacing w:before="320" w:after="280" w:line="264" w:lineRule="auto"/>
        <w:jc w:val="both"/>
        <w:rPr>
          <w:b/>
          <w:bCs/>
          <w:color w:val="009DA8"/>
          <w:sz w:val="22"/>
          <w:szCs w:val="22"/>
        </w:rPr>
      </w:pPr>
      <w:r>
        <w:rPr>
          <w:b/>
          <w:color w:val="009DA8"/>
          <w:sz w:val="22"/>
        </w:rPr>
        <w:t xml:space="preserve">Wert aller ausgezahlten Gewinnanteile pro Investmentanteil (§ 291 Abs. 3 </w:t>
      </w:r>
      <w:proofErr w:type="spellStart"/>
      <w:r>
        <w:rPr>
          <w:b/>
          <w:color w:val="009DA8"/>
          <w:sz w:val="22"/>
        </w:rPr>
        <w:t>InvG</w:t>
      </w:r>
      <w:proofErr w:type="spellEnd"/>
      <w:r>
        <w:rPr>
          <w:b/>
          <w:color w:val="009DA8"/>
          <w:sz w:val="22"/>
        </w:rPr>
        <w:t xml:space="preserve"> in Verbindung mit Anhang Nr. 2 </w:t>
      </w:r>
      <w:proofErr w:type="spellStart"/>
      <w:r>
        <w:rPr>
          <w:b/>
          <w:color w:val="009DA8"/>
          <w:sz w:val="22"/>
        </w:rPr>
        <w:t>Lit</w:t>
      </w:r>
      <w:proofErr w:type="spellEnd"/>
      <w:r>
        <w:rPr>
          <w:b/>
          <w:color w:val="009DA8"/>
          <w:sz w:val="22"/>
        </w:rPr>
        <w:t>. h) des Gesetzes zur näheren Regelung bestimmter Vorschriften des Gesetzes über Investmentgesellschaften und Investmentfonds)</w:t>
      </w:r>
    </w:p>
    <w:p w14:paraId="0E53A765" w14:textId="77777777" w:rsidR="002800E3" w:rsidRPr="00AD1EE2" w:rsidRDefault="002800E3" w:rsidP="003B027F">
      <w:pPr>
        <w:widowControl w:val="0"/>
        <w:jc w:val="both"/>
        <w:rPr>
          <w:sz w:val="22"/>
          <w:szCs w:val="22"/>
        </w:rPr>
      </w:pPr>
      <w:r>
        <w:rPr>
          <w:sz w:val="22"/>
        </w:rPr>
        <w:t>Die Gesellschaft gibt außer für ihren Teilfonds keine Investmentanteile aus. Diese Informationen werden daher in den Jahresbericht des Teilfonds aufgenommen.</w:t>
      </w:r>
    </w:p>
    <w:p w14:paraId="01C32E9A" w14:textId="77777777" w:rsidR="003B027F" w:rsidRDefault="003B027F" w:rsidP="00040DF2">
      <w:pPr>
        <w:jc w:val="both"/>
        <w:rPr>
          <w:sz w:val="22"/>
          <w:szCs w:val="22"/>
        </w:rPr>
      </w:pPr>
    </w:p>
    <w:p w14:paraId="3A49867D" w14:textId="685AE2FF" w:rsidR="002800E3" w:rsidRPr="003B027F" w:rsidRDefault="002800E3" w:rsidP="003B027F">
      <w:pPr>
        <w:spacing w:before="60" w:after="280" w:line="264" w:lineRule="auto"/>
        <w:jc w:val="both"/>
        <w:rPr>
          <w:b/>
          <w:bCs/>
          <w:color w:val="009DA8"/>
          <w:sz w:val="22"/>
          <w:szCs w:val="22"/>
        </w:rPr>
      </w:pPr>
      <w:r>
        <w:rPr>
          <w:b/>
          <w:color w:val="009DA8"/>
          <w:sz w:val="22"/>
        </w:rPr>
        <w:t xml:space="preserve">Angaben über das an den Verwalter für die Verwaltung der Gesellschaft tatsächlich gezahlte Entgelt, wobei zwischen Angaben zum Entgelt für die Ausübung der Tätigkeit der Verwahrstelle, des Administrators, des Hauptunterstützers und des Wirtschaftsprüfers, und Angaben zu weiteren Aufwendungen oder Steuern zu unterscheiden ist (§ 291 Abs. 3 </w:t>
      </w:r>
      <w:proofErr w:type="spellStart"/>
      <w:r>
        <w:rPr>
          <w:b/>
          <w:color w:val="009DA8"/>
          <w:sz w:val="22"/>
        </w:rPr>
        <w:t>InvG</w:t>
      </w:r>
      <w:proofErr w:type="spellEnd"/>
      <w:r>
        <w:rPr>
          <w:b/>
          <w:color w:val="009DA8"/>
          <w:sz w:val="22"/>
        </w:rPr>
        <w:t xml:space="preserve"> in Verbindung mit Anhang Nr. 2 </w:t>
      </w:r>
      <w:proofErr w:type="spellStart"/>
      <w:r>
        <w:rPr>
          <w:b/>
          <w:color w:val="009DA8"/>
          <w:sz w:val="22"/>
        </w:rPr>
        <w:t>Lit</w:t>
      </w:r>
      <w:proofErr w:type="spellEnd"/>
      <w:r>
        <w:rPr>
          <w:b/>
          <w:color w:val="009DA8"/>
          <w:sz w:val="22"/>
        </w:rPr>
        <w:t>. i) des Gesetzes zur näheren Regelung bestimmter Vorschriften des Gesetzes über Investmentgesellschaften und Investmentfonds)</w:t>
      </w:r>
    </w:p>
    <w:p w14:paraId="31B9371D" w14:textId="77777777" w:rsidR="002800E3" w:rsidRPr="00AD1EE2" w:rsidRDefault="002800E3" w:rsidP="00040DF2">
      <w:pPr>
        <w:jc w:val="both"/>
        <w:rPr>
          <w:sz w:val="22"/>
          <w:szCs w:val="22"/>
        </w:rPr>
      </w:pPr>
      <w:r>
        <w:rPr>
          <w:sz w:val="22"/>
        </w:rPr>
        <w:t xml:space="preserve">Diese Informationen sind im Jahresbericht von </w:t>
      </w:r>
      <w:proofErr w:type="spellStart"/>
      <w:r>
        <w:rPr>
          <w:sz w:val="22"/>
        </w:rPr>
        <w:t>Podfond</w:t>
      </w:r>
      <w:proofErr w:type="spellEnd"/>
      <w:r>
        <w:rPr>
          <w:sz w:val="22"/>
        </w:rPr>
        <w:t xml:space="preserve"> enthalten.</w:t>
      </w:r>
    </w:p>
    <w:p w14:paraId="298414E0" w14:textId="77777777" w:rsidR="002800E3" w:rsidRPr="003B027F" w:rsidRDefault="002800E3" w:rsidP="003B027F">
      <w:pPr>
        <w:spacing w:before="320" w:after="280" w:line="264" w:lineRule="auto"/>
        <w:jc w:val="both"/>
        <w:rPr>
          <w:b/>
          <w:bCs/>
          <w:color w:val="009DA8"/>
          <w:sz w:val="22"/>
          <w:szCs w:val="22"/>
        </w:rPr>
      </w:pPr>
      <w:r>
        <w:rPr>
          <w:b/>
          <w:color w:val="009DA8"/>
          <w:sz w:val="22"/>
        </w:rPr>
        <w:t xml:space="preserve">Angaben bezüglich der Durchsetzung ökologischer oder sozialer Eigenschaften und nachhaltiger Investitionen gemäß Artikel 11 der Verordnung (EU) 2019/2088 des Europäischen Parlaments und des Rates und Angaben gemäß den Artikeln 5 bis 7 der Verordnung (EU) 2020/852 des Europäischen Parlaments und des Rates (§ 291 Abs. 1 </w:t>
      </w:r>
      <w:proofErr w:type="spellStart"/>
      <w:r>
        <w:rPr>
          <w:b/>
          <w:color w:val="009DA8"/>
          <w:sz w:val="22"/>
        </w:rPr>
        <w:t>InvG</w:t>
      </w:r>
      <w:proofErr w:type="spellEnd"/>
      <w:r>
        <w:rPr>
          <w:b/>
          <w:color w:val="009DA8"/>
          <w:sz w:val="22"/>
        </w:rPr>
        <w:t xml:space="preserve"> in Verbindung mit § 234 Abs. 1 </w:t>
      </w:r>
      <w:proofErr w:type="spellStart"/>
      <w:r>
        <w:rPr>
          <w:b/>
          <w:color w:val="009DA8"/>
          <w:sz w:val="22"/>
        </w:rPr>
        <w:t>Lit</w:t>
      </w:r>
      <w:proofErr w:type="spellEnd"/>
      <w:r>
        <w:rPr>
          <w:b/>
          <w:color w:val="009DA8"/>
          <w:sz w:val="22"/>
        </w:rPr>
        <w:t xml:space="preserve">. j) </w:t>
      </w:r>
      <w:proofErr w:type="spellStart"/>
      <w:r>
        <w:rPr>
          <w:b/>
          <w:color w:val="009DA8"/>
          <w:sz w:val="22"/>
        </w:rPr>
        <w:t>InvG</w:t>
      </w:r>
      <w:proofErr w:type="spellEnd"/>
      <w:r>
        <w:rPr>
          <w:b/>
          <w:color w:val="009DA8"/>
          <w:sz w:val="22"/>
        </w:rPr>
        <w:t>)</w:t>
      </w:r>
    </w:p>
    <w:p w14:paraId="4B2197D6" w14:textId="77777777" w:rsidR="002800E3" w:rsidRPr="00AD1EE2" w:rsidRDefault="002800E3" w:rsidP="00040DF2">
      <w:pPr>
        <w:jc w:val="both"/>
        <w:rPr>
          <w:sz w:val="22"/>
          <w:szCs w:val="22"/>
        </w:rPr>
      </w:pPr>
      <w:r>
        <w:rPr>
          <w:sz w:val="22"/>
        </w:rPr>
        <w:t>Die zugrunde liegenden Anlagen der Gesellschaft berücksichtigen nicht die EU-Kriterien für ökologisch nachhaltige Wirtschaftstätigkeiten.</w:t>
      </w:r>
    </w:p>
    <w:p w14:paraId="62CACB00" w14:textId="77777777" w:rsidR="002800E3" w:rsidRPr="003B027F" w:rsidRDefault="002800E3" w:rsidP="003B027F">
      <w:pPr>
        <w:spacing w:before="320" w:after="280" w:line="264" w:lineRule="auto"/>
        <w:jc w:val="both"/>
        <w:rPr>
          <w:b/>
          <w:bCs/>
          <w:color w:val="009DA8"/>
          <w:sz w:val="22"/>
          <w:szCs w:val="22"/>
        </w:rPr>
      </w:pPr>
      <w:r>
        <w:rPr>
          <w:b/>
          <w:color w:val="009DA8"/>
          <w:sz w:val="22"/>
        </w:rPr>
        <w:t xml:space="preserve">Angaben zu wesentlichen Änderungen der in der Satzung der Gesellschaft enthaltenen Daten, die während der Rechnungsperiode eingetreten sind (§ 291 Abs. 1 </w:t>
      </w:r>
      <w:proofErr w:type="spellStart"/>
      <w:r>
        <w:rPr>
          <w:b/>
          <w:color w:val="009DA8"/>
          <w:sz w:val="22"/>
        </w:rPr>
        <w:t>InvG</w:t>
      </w:r>
      <w:proofErr w:type="spellEnd"/>
      <w:r>
        <w:rPr>
          <w:b/>
          <w:color w:val="009DA8"/>
          <w:sz w:val="22"/>
        </w:rPr>
        <w:t xml:space="preserve"> in Verbindung mit § 234 Abs. 2 </w:t>
      </w:r>
      <w:proofErr w:type="spellStart"/>
      <w:r>
        <w:rPr>
          <w:b/>
          <w:color w:val="009DA8"/>
          <w:sz w:val="22"/>
        </w:rPr>
        <w:t>Lit</w:t>
      </w:r>
      <w:proofErr w:type="spellEnd"/>
      <w:r>
        <w:rPr>
          <w:b/>
          <w:color w:val="009DA8"/>
          <w:sz w:val="22"/>
        </w:rPr>
        <w:t xml:space="preserve">. a) </w:t>
      </w:r>
      <w:proofErr w:type="spellStart"/>
      <w:r>
        <w:rPr>
          <w:b/>
          <w:color w:val="009DA8"/>
          <w:sz w:val="22"/>
        </w:rPr>
        <w:t>InvG</w:t>
      </w:r>
      <w:proofErr w:type="spellEnd"/>
      <w:r>
        <w:rPr>
          <w:b/>
          <w:color w:val="009DA8"/>
          <w:sz w:val="22"/>
        </w:rPr>
        <w:t xml:space="preserve"> und Artikel 106 der Verordnung)</w:t>
      </w:r>
    </w:p>
    <w:p w14:paraId="18DAAC2C" w14:textId="77777777" w:rsidR="002800E3" w:rsidRPr="00AD1EE2" w:rsidRDefault="002800E3" w:rsidP="00040DF2">
      <w:pPr>
        <w:jc w:val="both"/>
        <w:rPr>
          <w:sz w:val="22"/>
          <w:szCs w:val="22"/>
        </w:rPr>
      </w:pPr>
      <w:r>
        <w:rPr>
          <w:sz w:val="22"/>
        </w:rPr>
        <w:lastRenderedPageBreak/>
        <w:t>Im Verlauf der Rechnungsperiode sind keine wesentlichen Änderungen der Satzung der Gesellschaft eingetreten.</w:t>
      </w:r>
    </w:p>
    <w:p w14:paraId="180BE06A" w14:textId="77777777" w:rsidR="002800E3" w:rsidRPr="003B027F" w:rsidRDefault="002800E3" w:rsidP="003B027F">
      <w:pPr>
        <w:spacing w:before="320" w:after="280" w:line="264" w:lineRule="auto"/>
        <w:jc w:val="both"/>
        <w:rPr>
          <w:b/>
          <w:bCs/>
          <w:color w:val="009DA8"/>
          <w:sz w:val="22"/>
          <w:szCs w:val="22"/>
        </w:rPr>
      </w:pPr>
      <w:r>
        <w:rPr>
          <w:b/>
          <w:color w:val="009DA8"/>
          <w:sz w:val="22"/>
        </w:rPr>
        <w:t xml:space="preserve">Angaben zu den Gehältern, Entgelten und ähnlichen Einkünften von Mitarbeitern und Führungskräften, die als Vergütung angesehen werden können, die der Verwalter der Gesellschaft während der Rechnungsperiode an ihre Mitarbeiter oder Führungskräfte zahlt, aufgeteilt in den festen und variablen Lohnanteil, Angaben zur Anzahl der Mitarbeiter und Führungskräfte des Verwalters der Gesellschaft und Angaben zu etwaigen von der Gesellschaft oder ihrem Verwalter gezahlten Vergütungen für die Kapitalwertsteigerung (§ 291 Abs. 1 </w:t>
      </w:r>
      <w:proofErr w:type="spellStart"/>
      <w:r>
        <w:rPr>
          <w:b/>
          <w:color w:val="009DA8"/>
          <w:sz w:val="22"/>
        </w:rPr>
        <w:t>InvG</w:t>
      </w:r>
      <w:proofErr w:type="spellEnd"/>
      <w:r>
        <w:rPr>
          <w:b/>
          <w:color w:val="009DA8"/>
          <w:sz w:val="22"/>
        </w:rPr>
        <w:t xml:space="preserve"> in Verbindung mit § 234 Abs. 2 </w:t>
      </w:r>
      <w:proofErr w:type="spellStart"/>
      <w:r>
        <w:rPr>
          <w:b/>
          <w:color w:val="009DA8"/>
          <w:sz w:val="22"/>
        </w:rPr>
        <w:t>Lit</w:t>
      </w:r>
      <w:proofErr w:type="spellEnd"/>
      <w:r>
        <w:rPr>
          <w:b/>
          <w:color w:val="009DA8"/>
          <w:sz w:val="22"/>
        </w:rPr>
        <w:t xml:space="preserve">. b) </w:t>
      </w:r>
      <w:proofErr w:type="spellStart"/>
      <w:r>
        <w:rPr>
          <w:b/>
          <w:color w:val="009DA8"/>
          <w:sz w:val="22"/>
        </w:rPr>
        <w:t>InvG</w:t>
      </w:r>
      <w:proofErr w:type="spellEnd"/>
      <w:r>
        <w:rPr>
          <w:b/>
          <w:color w:val="009DA8"/>
          <w:sz w:val="22"/>
        </w:rPr>
        <w:t xml:space="preserve"> und Artikel 107 der Verordnung)</w:t>
      </w:r>
    </w:p>
    <w:p w14:paraId="1AAD007A" w14:textId="77777777" w:rsidR="002800E3" w:rsidRPr="00AD1EE2" w:rsidRDefault="002800E3" w:rsidP="0032103B">
      <w:pPr>
        <w:spacing w:line="264" w:lineRule="auto"/>
        <w:jc w:val="both"/>
        <w:rPr>
          <w:sz w:val="22"/>
          <w:szCs w:val="22"/>
        </w:rPr>
      </w:pPr>
      <w:r>
        <w:rPr>
          <w:sz w:val="22"/>
        </w:rPr>
        <w:t>Die Mitarbeiter des gesetzlich vorgesehenen Leitungsorgans der Gesellschaft (einschließlich des Portfolioverwalters) sowie die Bevollmächtigten des gesetzlich vorgesehenen Leitungsorgans werden vom Mitglied des gesetzlich vorgesehenen Leitungsorgans gemäß seiner internen Vergütungspolitik, die im Hinblick auf die Anforderungen der AIFMR-Richtlinie erstellt wurde, vergütet. Diese Personen werden nicht von der Gesellschaft vergütet.</w:t>
      </w:r>
    </w:p>
    <w:p w14:paraId="39E238EE" w14:textId="77777777" w:rsidR="0032103B" w:rsidRDefault="0032103B" w:rsidP="0032103B">
      <w:pPr>
        <w:spacing w:line="264" w:lineRule="auto"/>
        <w:jc w:val="both"/>
        <w:rPr>
          <w:sz w:val="22"/>
          <w:szCs w:val="22"/>
        </w:rPr>
      </w:pPr>
    </w:p>
    <w:p w14:paraId="79F8041C" w14:textId="5DF5CDBA" w:rsidR="002800E3" w:rsidRPr="00AD1EE2" w:rsidRDefault="002800E3" w:rsidP="0032103B">
      <w:pPr>
        <w:spacing w:line="264" w:lineRule="auto"/>
        <w:jc w:val="both"/>
        <w:rPr>
          <w:sz w:val="22"/>
          <w:szCs w:val="22"/>
        </w:rPr>
      </w:pPr>
      <w:r>
        <w:rPr>
          <w:sz w:val="22"/>
        </w:rPr>
        <w:t>Das gesetzlich vorgesehene Leitungsorgan der Gesellschaft hat ein System für die Vergütung ihrer Mitarbeiter, einschließlich aller Führungskräfte, eingeführt, das aus einem anspruchsberechtigten Bestandteil (Gehalt) und einem nicht anspruchsberechtigten Bestandteil (leistungsbezogene Vergütung) besteht. Der anspruchsberechtigte Bestandteil der Vergütung wird bei Erfüllung der im Voraus festgelegten Bedingungen gezahlt, die in der Regel auf dem Wirtschaftsergebnis des gesetzlich vorgesehenen Leitungsorgans der Gesellschaft und der Leistungsbewertung des einzelnen Mitarbeiters beruht.</w:t>
      </w:r>
    </w:p>
    <w:p w14:paraId="6E5D1B19" w14:textId="77777777" w:rsidR="0032103B" w:rsidRDefault="0032103B" w:rsidP="0032103B">
      <w:pPr>
        <w:spacing w:line="264" w:lineRule="auto"/>
        <w:jc w:val="both"/>
        <w:rPr>
          <w:sz w:val="22"/>
          <w:szCs w:val="22"/>
        </w:rPr>
      </w:pPr>
    </w:p>
    <w:p w14:paraId="3AC2A46D" w14:textId="04E57DBB" w:rsidR="002800E3" w:rsidRPr="00AD1EE2" w:rsidRDefault="002800E3" w:rsidP="0032103B">
      <w:pPr>
        <w:spacing w:line="264" w:lineRule="auto"/>
        <w:jc w:val="both"/>
        <w:rPr>
          <w:sz w:val="22"/>
          <w:szCs w:val="22"/>
        </w:rPr>
      </w:pPr>
      <w:r>
        <w:rPr>
          <w:sz w:val="22"/>
        </w:rPr>
        <w:t>Das gesetzlich vorgesehene Leitungsorgan der Gesellschaft ist verpflichtet, Informationen über die Vergütung seiner Mitarbeiter offen zu legen. Da das gesetzlich vorgesehene Leitungsorgan der Gesellschaft mehr als einen Investmentfonds verwaltet, sind die nachstehenden Zahlen ein anteiliger Teil der Gesamtvergütung, die das gesetzlich vorgesehene Leitungsorgan der Gesellschaft an seine Mitarbeiter zahlt.</w:t>
      </w:r>
    </w:p>
    <w:p w14:paraId="0F614AE6" w14:textId="77777777" w:rsidR="0032103B" w:rsidRDefault="0032103B" w:rsidP="0032103B">
      <w:pPr>
        <w:spacing w:line="264" w:lineRule="auto"/>
        <w:jc w:val="both"/>
        <w:rPr>
          <w:sz w:val="22"/>
          <w:szCs w:val="22"/>
        </w:rPr>
      </w:pPr>
    </w:p>
    <w:p w14:paraId="582AC5FC" w14:textId="7BA8A224" w:rsidR="002800E3" w:rsidRPr="00AD1EE2" w:rsidRDefault="002800E3" w:rsidP="0032103B">
      <w:pPr>
        <w:spacing w:line="264" w:lineRule="auto"/>
        <w:jc w:val="both"/>
        <w:rPr>
          <w:sz w:val="22"/>
          <w:szCs w:val="22"/>
        </w:rPr>
      </w:pPr>
      <w:r>
        <w:rPr>
          <w:sz w:val="22"/>
        </w:rPr>
        <w:t xml:space="preserve">Konkrete Informationen sind im Jahresbericht des </w:t>
      </w:r>
      <w:proofErr w:type="spellStart"/>
      <w:r>
        <w:rPr>
          <w:sz w:val="22"/>
        </w:rPr>
        <w:t>Podfond</w:t>
      </w:r>
      <w:proofErr w:type="spellEnd"/>
      <w:r>
        <w:rPr>
          <w:sz w:val="22"/>
        </w:rPr>
        <w:t xml:space="preserve"> enthalten.</w:t>
      </w:r>
    </w:p>
    <w:p w14:paraId="7BFA2CF5" w14:textId="77777777" w:rsidR="002800E3" w:rsidRPr="0032103B" w:rsidRDefault="002800E3" w:rsidP="0032103B">
      <w:pPr>
        <w:spacing w:before="600" w:after="280" w:line="264" w:lineRule="auto"/>
        <w:jc w:val="both"/>
        <w:rPr>
          <w:b/>
          <w:bCs/>
          <w:color w:val="009DA8"/>
          <w:sz w:val="22"/>
          <w:szCs w:val="22"/>
        </w:rPr>
      </w:pPr>
      <w:r>
        <w:rPr>
          <w:b/>
          <w:color w:val="009DA8"/>
          <w:sz w:val="22"/>
        </w:rPr>
        <w:t xml:space="preserve">Angaben zu den Gehältern, Entgelten und ähnlichen Einkünften von Mitarbeitern oder Führungskräften, die als Vergütung angesehen werden können, die der Verwalter der Gesellschaft an diejenigen seiner Mitarbeiter oder Führungskräften zahlt, deren Tätigkeit sich wesentlich auf das Risikoprofil der Gesellschaft auswirkt (§ 291 Abs. 1 </w:t>
      </w:r>
      <w:proofErr w:type="spellStart"/>
      <w:r>
        <w:rPr>
          <w:b/>
          <w:color w:val="009DA8"/>
          <w:sz w:val="22"/>
        </w:rPr>
        <w:t>InvG</w:t>
      </w:r>
      <w:proofErr w:type="spellEnd"/>
      <w:r>
        <w:rPr>
          <w:b/>
          <w:color w:val="009DA8"/>
          <w:sz w:val="22"/>
        </w:rPr>
        <w:t xml:space="preserve"> in Verbindung mit § 234 Abs. 2 </w:t>
      </w:r>
      <w:proofErr w:type="spellStart"/>
      <w:r>
        <w:rPr>
          <w:b/>
          <w:color w:val="009DA8"/>
          <w:sz w:val="22"/>
        </w:rPr>
        <w:t>Lit</w:t>
      </w:r>
      <w:proofErr w:type="spellEnd"/>
      <w:r>
        <w:rPr>
          <w:b/>
          <w:color w:val="009DA8"/>
          <w:sz w:val="22"/>
        </w:rPr>
        <w:t xml:space="preserve">. c) </w:t>
      </w:r>
      <w:proofErr w:type="spellStart"/>
      <w:r>
        <w:rPr>
          <w:b/>
          <w:color w:val="009DA8"/>
          <w:sz w:val="22"/>
        </w:rPr>
        <w:t>InvG</w:t>
      </w:r>
      <w:proofErr w:type="spellEnd"/>
      <w:r>
        <w:rPr>
          <w:b/>
          <w:color w:val="009DA8"/>
          <w:sz w:val="22"/>
        </w:rPr>
        <w:t xml:space="preserve"> und Artikel 107 der Verordnung)</w:t>
      </w:r>
    </w:p>
    <w:p w14:paraId="479BC018" w14:textId="6021934F" w:rsidR="002800E3" w:rsidRPr="00AD1EE2" w:rsidRDefault="002800E3" w:rsidP="0032103B">
      <w:pPr>
        <w:spacing w:line="264" w:lineRule="auto"/>
        <w:jc w:val="both"/>
        <w:rPr>
          <w:sz w:val="22"/>
          <w:szCs w:val="22"/>
        </w:rPr>
      </w:pPr>
      <w:r>
        <w:rPr>
          <w:sz w:val="22"/>
        </w:rPr>
        <w:t>Das gesetzlich vorgesehene Leitungsorgan der Gesellschaft wendet spezielle Vergütungsrichtlinien und -verfahren für Mitarbeiter an, die einen wesentlichen Einfluss auf die Risiken haben, denen das gesetzlich vorgesehene Leitungsorgan der Gesellschaft oder die Gesellschaft selbst ausgesetzt sein können. Diese Vergütungspolitik und -praxis fördert ein ordnungsgemäßes und wirksames Risikomanagement und vermeidet Interessenkonflikte.</w:t>
      </w:r>
    </w:p>
    <w:p w14:paraId="0E6D5730" w14:textId="77777777" w:rsidR="0032103B" w:rsidRDefault="0032103B" w:rsidP="0032103B">
      <w:pPr>
        <w:spacing w:line="264" w:lineRule="auto"/>
        <w:jc w:val="both"/>
        <w:rPr>
          <w:sz w:val="22"/>
          <w:szCs w:val="22"/>
        </w:rPr>
      </w:pPr>
    </w:p>
    <w:p w14:paraId="3D2533C2" w14:textId="031D19A4" w:rsidR="002800E3" w:rsidRPr="00AD1EE2" w:rsidRDefault="002800E3" w:rsidP="0032103B">
      <w:pPr>
        <w:spacing w:line="264" w:lineRule="auto"/>
        <w:jc w:val="both"/>
        <w:rPr>
          <w:sz w:val="22"/>
          <w:szCs w:val="22"/>
        </w:rPr>
      </w:pPr>
      <w:r>
        <w:rPr>
          <w:sz w:val="22"/>
        </w:rPr>
        <w:lastRenderedPageBreak/>
        <w:t xml:space="preserve">Konkrete Informationen sind im Jahresbericht des </w:t>
      </w:r>
      <w:proofErr w:type="spellStart"/>
      <w:r>
        <w:rPr>
          <w:sz w:val="22"/>
        </w:rPr>
        <w:t>Podfond</w:t>
      </w:r>
      <w:proofErr w:type="spellEnd"/>
      <w:r>
        <w:rPr>
          <w:sz w:val="22"/>
        </w:rPr>
        <w:t xml:space="preserve"> enthalten.</w:t>
      </w:r>
    </w:p>
    <w:p w14:paraId="5B395DF9" w14:textId="77777777" w:rsidR="0032103B" w:rsidRDefault="0032103B" w:rsidP="0032103B">
      <w:pPr>
        <w:spacing w:line="264" w:lineRule="auto"/>
        <w:jc w:val="both"/>
        <w:rPr>
          <w:sz w:val="22"/>
          <w:szCs w:val="22"/>
        </w:rPr>
      </w:pPr>
    </w:p>
    <w:p w14:paraId="1D2FE1DB" w14:textId="77777777" w:rsidR="0032103B" w:rsidRDefault="0032103B" w:rsidP="0032103B">
      <w:pPr>
        <w:spacing w:line="264" w:lineRule="auto"/>
        <w:jc w:val="both"/>
        <w:rPr>
          <w:sz w:val="22"/>
          <w:szCs w:val="22"/>
        </w:rPr>
      </w:pPr>
    </w:p>
    <w:p w14:paraId="63A78FC9" w14:textId="77777777" w:rsidR="0032103B" w:rsidRDefault="0032103B" w:rsidP="0032103B">
      <w:pPr>
        <w:spacing w:line="264" w:lineRule="auto"/>
        <w:jc w:val="both"/>
        <w:rPr>
          <w:sz w:val="22"/>
          <w:szCs w:val="22"/>
        </w:rPr>
      </w:pPr>
    </w:p>
    <w:p w14:paraId="038D511E" w14:textId="77777777" w:rsidR="0032103B" w:rsidRDefault="0032103B" w:rsidP="0032103B">
      <w:pPr>
        <w:spacing w:line="264" w:lineRule="auto"/>
        <w:jc w:val="both"/>
        <w:rPr>
          <w:sz w:val="22"/>
          <w:szCs w:val="22"/>
        </w:rPr>
      </w:pPr>
    </w:p>
    <w:p w14:paraId="0AFB1DE3" w14:textId="77777777" w:rsidR="0032103B" w:rsidRDefault="0032103B" w:rsidP="0032103B">
      <w:pPr>
        <w:spacing w:line="264" w:lineRule="auto"/>
        <w:jc w:val="both"/>
        <w:rPr>
          <w:sz w:val="22"/>
          <w:szCs w:val="22"/>
        </w:rPr>
      </w:pPr>
    </w:p>
    <w:p w14:paraId="1258FE8B" w14:textId="77777777" w:rsidR="0032103B" w:rsidRDefault="0032103B" w:rsidP="0032103B">
      <w:pPr>
        <w:spacing w:line="264" w:lineRule="auto"/>
        <w:jc w:val="both"/>
        <w:rPr>
          <w:sz w:val="22"/>
          <w:szCs w:val="22"/>
        </w:rPr>
      </w:pPr>
    </w:p>
    <w:p w14:paraId="573F678D" w14:textId="7B29D2FD" w:rsidR="002800E3" w:rsidRPr="00AD1EE2" w:rsidRDefault="002800E3" w:rsidP="0032103B">
      <w:pPr>
        <w:spacing w:before="120" w:line="264" w:lineRule="auto"/>
        <w:jc w:val="both"/>
        <w:rPr>
          <w:sz w:val="22"/>
          <w:szCs w:val="22"/>
        </w:rPr>
      </w:pPr>
      <w:r>
        <w:rPr>
          <w:sz w:val="22"/>
        </w:rPr>
        <w:t>Brno, den 30. April 2024</w:t>
      </w:r>
    </w:p>
    <w:p w14:paraId="6C6AA7A2" w14:textId="0648A74D" w:rsidR="0032103B" w:rsidRDefault="0032103B" w:rsidP="0032103B">
      <w:pPr>
        <w:spacing w:before="400"/>
        <w:ind w:left="-28"/>
        <w:jc w:val="both"/>
        <w:rPr>
          <w:sz w:val="22"/>
          <w:szCs w:val="22"/>
        </w:rPr>
      </w:pPr>
      <w:r>
        <w:rPr>
          <w:noProof/>
          <w:sz w:val="22"/>
        </w:rPr>
        <w:drawing>
          <wp:inline distT="0" distB="0" distL="0" distR="0" wp14:anchorId="562BAF63" wp14:editId="7FD0BF52">
            <wp:extent cx="2694940" cy="84137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4940" cy="841375"/>
                    </a:xfrm>
                    <a:prstGeom prst="rect">
                      <a:avLst/>
                    </a:prstGeom>
                    <a:noFill/>
                  </pic:spPr>
                </pic:pic>
              </a:graphicData>
            </a:graphic>
          </wp:inline>
        </w:drawing>
      </w:r>
    </w:p>
    <w:p w14:paraId="36747067" w14:textId="67DB8AD9" w:rsidR="002800E3" w:rsidRPr="000F3A73" w:rsidRDefault="002800E3" w:rsidP="0032103B">
      <w:pPr>
        <w:spacing w:after="30"/>
        <w:jc w:val="both"/>
        <w:rPr>
          <w:sz w:val="22"/>
          <w:szCs w:val="22"/>
          <w:lang w:val="en-GB"/>
        </w:rPr>
      </w:pPr>
      <w:r w:rsidRPr="000F3A73">
        <w:rPr>
          <w:sz w:val="22"/>
          <w:lang w:val="en-GB"/>
        </w:rPr>
        <w:t xml:space="preserve">ZDR Investments SICAV </w:t>
      </w:r>
      <w:proofErr w:type="spellStart"/>
      <w:r w:rsidRPr="000F3A73">
        <w:rPr>
          <w:sz w:val="22"/>
          <w:lang w:val="en-GB"/>
        </w:rPr>
        <w:t>a.s.</w:t>
      </w:r>
      <w:proofErr w:type="spellEnd"/>
    </w:p>
    <w:p w14:paraId="2C08F3A4" w14:textId="77777777" w:rsidR="002800E3" w:rsidRPr="00AD1EE2" w:rsidRDefault="002800E3" w:rsidP="0032103B">
      <w:pPr>
        <w:spacing w:after="30"/>
        <w:jc w:val="both"/>
        <w:rPr>
          <w:sz w:val="22"/>
          <w:szCs w:val="22"/>
        </w:rPr>
      </w:pPr>
      <w:r>
        <w:rPr>
          <w:sz w:val="22"/>
        </w:rPr>
        <w:t xml:space="preserve">Ing. Robert </w:t>
      </w:r>
      <w:proofErr w:type="spellStart"/>
      <w:r>
        <w:rPr>
          <w:sz w:val="22"/>
        </w:rPr>
        <w:t>Hlava</w:t>
      </w:r>
      <w:proofErr w:type="spellEnd"/>
    </w:p>
    <w:p w14:paraId="2DB7A70B" w14:textId="77777777" w:rsidR="0032103B" w:rsidRDefault="002800E3" w:rsidP="0032103B">
      <w:pPr>
        <w:spacing w:after="30"/>
        <w:jc w:val="both"/>
        <w:rPr>
          <w:sz w:val="22"/>
          <w:szCs w:val="22"/>
        </w:rPr>
      </w:pPr>
      <w:r>
        <w:rPr>
          <w:sz w:val="22"/>
        </w:rPr>
        <w:t>beauftragter Bevollmächtigter des einzigen Mitglieds des Verwaltungsrats</w:t>
      </w:r>
    </w:p>
    <w:p w14:paraId="6E779458" w14:textId="17C5BE59" w:rsidR="002800E3" w:rsidRPr="00AD1EE2" w:rsidRDefault="002800E3" w:rsidP="00040DF2">
      <w:pPr>
        <w:jc w:val="both"/>
        <w:rPr>
          <w:sz w:val="22"/>
          <w:szCs w:val="22"/>
        </w:rPr>
      </w:pPr>
      <w:r>
        <w:rPr>
          <w:sz w:val="22"/>
        </w:rPr>
        <w:t xml:space="preserve">CODYA </w:t>
      </w:r>
      <w:proofErr w:type="spellStart"/>
      <w:r>
        <w:rPr>
          <w:sz w:val="22"/>
        </w:rPr>
        <w:t>investiční</w:t>
      </w:r>
      <w:proofErr w:type="spellEnd"/>
      <w:r>
        <w:rPr>
          <w:sz w:val="22"/>
        </w:rPr>
        <w:t xml:space="preserve"> </w:t>
      </w:r>
      <w:proofErr w:type="spellStart"/>
      <w:r>
        <w:rPr>
          <w:sz w:val="22"/>
        </w:rPr>
        <w:t>společnost</w:t>
      </w:r>
      <w:proofErr w:type="spellEnd"/>
      <w:r>
        <w:rPr>
          <w:sz w:val="22"/>
        </w:rPr>
        <w:t xml:space="preserve">, </w:t>
      </w:r>
      <w:proofErr w:type="spellStart"/>
      <w:r>
        <w:rPr>
          <w:sz w:val="22"/>
        </w:rPr>
        <w:t>a.s.</w:t>
      </w:r>
      <w:proofErr w:type="spellEnd"/>
    </w:p>
    <w:p w14:paraId="2AB90A1D" w14:textId="77777777" w:rsidR="0032103B" w:rsidRDefault="0032103B" w:rsidP="00040DF2">
      <w:pPr>
        <w:jc w:val="both"/>
        <w:rPr>
          <w:sz w:val="22"/>
          <w:szCs w:val="22"/>
        </w:rPr>
      </w:pPr>
    </w:p>
    <w:p w14:paraId="28979EA2" w14:textId="5BAD844B" w:rsidR="0032103B" w:rsidRDefault="0032103B" w:rsidP="00040DF2">
      <w:pPr>
        <w:jc w:val="both"/>
        <w:rPr>
          <w:sz w:val="22"/>
          <w:szCs w:val="22"/>
        </w:rPr>
        <w:sectPr w:rsidR="0032103B" w:rsidSect="003B027F">
          <w:headerReference w:type="default" r:id="rId29"/>
          <w:footerReference w:type="default" r:id="rId30"/>
          <w:pgSz w:w="11906" w:h="16838" w:code="9"/>
          <w:pgMar w:top="2778" w:right="1418" w:bottom="567" w:left="1418" w:header="1361" w:footer="624" w:gutter="0"/>
          <w:cols w:space="708"/>
          <w:docGrid w:linePitch="360"/>
        </w:sectPr>
      </w:pPr>
    </w:p>
    <w:p w14:paraId="71E676E5" w14:textId="77777777" w:rsidR="00230714" w:rsidRDefault="00230714" w:rsidP="00230714">
      <w:pPr>
        <w:jc w:val="center"/>
        <w:rPr>
          <w:sz w:val="22"/>
          <w:szCs w:val="22"/>
        </w:rPr>
      </w:pPr>
    </w:p>
    <w:p w14:paraId="1F2F1E55" w14:textId="77777777" w:rsidR="00230714" w:rsidRDefault="00230714" w:rsidP="00230714">
      <w:pPr>
        <w:jc w:val="center"/>
        <w:rPr>
          <w:sz w:val="22"/>
          <w:szCs w:val="22"/>
        </w:rPr>
      </w:pPr>
    </w:p>
    <w:p w14:paraId="654722C0" w14:textId="77777777" w:rsidR="00230714" w:rsidRDefault="00230714" w:rsidP="00230714">
      <w:pPr>
        <w:jc w:val="center"/>
        <w:rPr>
          <w:sz w:val="22"/>
          <w:szCs w:val="22"/>
        </w:rPr>
      </w:pPr>
    </w:p>
    <w:p w14:paraId="0E991E7A" w14:textId="77777777" w:rsidR="00230714" w:rsidRDefault="00230714" w:rsidP="00230714">
      <w:pPr>
        <w:jc w:val="center"/>
        <w:rPr>
          <w:sz w:val="22"/>
          <w:szCs w:val="22"/>
        </w:rPr>
      </w:pPr>
    </w:p>
    <w:p w14:paraId="74BF01BD" w14:textId="77777777" w:rsidR="00230714" w:rsidRDefault="00230714" w:rsidP="00230714">
      <w:pPr>
        <w:jc w:val="center"/>
        <w:rPr>
          <w:sz w:val="22"/>
          <w:szCs w:val="22"/>
        </w:rPr>
      </w:pPr>
    </w:p>
    <w:p w14:paraId="09423554" w14:textId="77777777" w:rsidR="00230714" w:rsidRDefault="00230714" w:rsidP="00230714">
      <w:pPr>
        <w:jc w:val="center"/>
        <w:rPr>
          <w:sz w:val="22"/>
          <w:szCs w:val="22"/>
        </w:rPr>
      </w:pPr>
    </w:p>
    <w:p w14:paraId="6415F24C" w14:textId="77777777" w:rsidR="00230714" w:rsidRDefault="00230714" w:rsidP="00230714">
      <w:pPr>
        <w:jc w:val="center"/>
        <w:rPr>
          <w:sz w:val="22"/>
          <w:szCs w:val="22"/>
        </w:rPr>
      </w:pPr>
    </w:p>
    <w:p w14:paraId="681D9C0D" w14:textId="77777777" w:rsidR="00230714" w:rsidRDefault="00230714" w:rsidP="00230714">
      <w:pPr>
        <w:jc w:val="center"/>
        <w:rPr>
          <w:sz w:val="22"/>
          <w:szCs w:val="22"/>
        </w:rPr>
      </w:pPr>
    </w:p>
    <w:p w14:paraId="25F0278A" w14:textId="77777777" w:rsidR="00230714" w:rsidRDefault="00230714" w:rsidP="00230714">
      <w:pPr>
        <w:jc w:val="center"/>
        <w:rPr>
          <w:sz w:val="22"/>
          <w:szCs w:val="22"/>
        </w:rPr>
      </w:pPr>
    </w:p>
    <w:p w14:paraId="1E67FBC8" w14:textId="77777777" w:rsidR="00230714" w:rsidRDefault="00230714" w:rsidP="00230714">
      <w:pPr>
        <w:jc w:val="center"/>
        <w:rPr>
          <w:sz w:val="22"/>
          <w:szCs w:val="22"/>
        </w:rPr>
      </w:pPr>
    </w:p>
    <w:p w14:paraId="37F959EE" w14:textId="77777777" w:rsidR="00230714" w:rsidRDefault="00230714" w:rsidP="00230714">
      <w:pPr>
        <w:jc w:val="center"/>
        <w:rPr>
          <w:sz w:val="22"/>
          <w:szCs w:val="22"/>
        </w:rPr>
      </w:pPr>
    </w:p>
    <w:p w14:paraId="1E4DE1D9" w14:textId="77777777" w:rsidR="00230714" w:rsidRDefault="00230714" w:rsidP="00230714">
      <w:pPr>
        <w:jc w:val="center"/>
        <w:rPr>
          <w:sz w:val="22"/>
          <w:szCs w:val="22"/>
        </w:rPr>
      </w:pPr>
    </w:p>
    <w:p w14:paraId="5BB0D701" w14:textId="77777777" w:rsidR="00230714" w:rsidRDefault="00230714" w:rsidP="00230714">
      <w:pPr>
        <w:jc w:val="center"/>
        <w:rPr>
          <w:sz w:val="22"/>
          <w:szCs w:val="22"/>
        </w:rPr>
      </w:pPr>
    </w:p>
    <w:p w14:paraId="569A3AEF" w14:textId="77777777" w:rsidR="00230714" w:rsidRDefault="00230714" w:rsidP="00230714">
      <w:pPr>
        <w:jc w:val="center"/>
        <w:rPr>
          <w:sz w:val="22"/>
          <w:szCs w:val="22"/>
        </w:rPr>
      </w:pPr>
    </w:p>
    <w:p w14:paraId="5A692FDB" w14:textId="77777777" w:rsidR="00230714" w:rsidRDefault="00230714" w:rsidP="00230714">
      <w:pPr>
        <w:jc w:val="center"/>
        <w:rPr>
          <w:sz w:val="22"/>
          <w:szCs w:val="22"/>
        </w:rPr>
      </w:pPr>
    </w:p>
    <w:p w14:paraId="780A98F7" w14:textId="503E8BB4" w:rsidR="00230714" w:rsidRDefault="00230714" w:rsidP="00230714">
      <w:pPr>
        <w:jc w:val="center"/>
        <w:rPr>
          <w:sz w:val="22"/>
          <w:szCs w:val="22"/>
        </w:rPr>
      </w:pPr>
    </w:p>
    <w:p w14:paraId="0A826796" w14:textId="77777777" w:rsidR="00230714" w:rsidRDefault="00230714" w:rsidP="00230714">
      <w:pPr>
        <w:jc w:val="center"/>
        <w:rPr>
          <w:sz w:val="22"/>
          <w:szCs w:val="22"/>
        </w:rPr>
      </w:pPr>
    </w:p>
    <w:p w14:paraId="60B66FD5" w14:textId="77777777" w:rsidR="00230714" w:rsidRDefault="00230714" w:rsidP="00230714">
      <w:pPr>
        <w:jc w:val="center"/>
        <w:rPr>
          <w:sz w:val="22"/>
          <w:szCs w:val="22"/>
        </w:rPr>
      </w:pPr>
    </w:p>
    <w:p w14:paraId="118A39B7" w14:textId="77777777" w:rsidR="00230714" w:rsidRDefault="00230714" w:rsidP="00230714">
      <w:pPr>
        <w:jc w:val="center"/>
        <w:rPr>
          <w:sz w:val="22"/>
          <w:szCs w:val="22"/>
        </w:rPr>
      </w:pPr>
    </w:p>
    <w:p w14:paraId="46AFA487" w14:textId="77777777" w:rsidR="00230714" w:rsidRDefault="00230714" w:rsidP="00230714">
      <w:pPr>
        <w:jc w:val="center"/>
        <w:rPr>
          <w:sz w:val="22"/>
          <w:szCs w:val="22"/>
        </w:rPr>
      </w:pPr>
    </w:p>
    <w:p w14:paraId="686E6907" w14:textId="77777777" w:rsidR="00230714" w:rsidRDefault="00230714" w:rsidP="00230714">
      <w:pPr>
        <w:jc w:val="center"/>
        <w:rPr>
          <w:sz w:val="22"/>
          <w:szCs w:val="22"/>
        </w:rPr>
      </w:pPr>
    </w:p>
    <w:p w14:paraId="5CC5CF21" w14:textId="77777777" w:rsidR="00230714" w:rsidRDefault="00230714" w:rsidP="00230714">
      <w:pPr>
        <w:jc w:val="center"/>
        <w:rPr>
          <w:sz w:val="22"/>
          <w:szCs w:val="22"/>
        </w:rPr>
      </w:pPr>
    </w:p>
    <w:p w14:paraId="67E4D14E" w14:textId="77777777" w:rsidR="00230714" w:rsidRDefault="00230714" w:rsidP="00230714">
      <w:pPr>
        <w:jc w:val="center"/>
        <w:rPr>
          <w:sz w:val="22"/>
          <w:szCs w:val="22"/>
        </w:rPr>
      </w:pPr>
    </w:p>
    <w:p w14:paraId="47202AD5" w14:textId="2BA8056C" w:rsidR="002800E3" w:rsidRPr="000F3A73" w:rsidRDefault="002800E3" w:rsidP="006D75B9">
      <w:pPr>
        <w:spacing w:after="320"/>
        <w:jc w:val="center"/>
        <w:rPr>
          <w:b/>
          <w:bCs/>
          <w:sz w:val="40"/>
          <w:szCs w:val="40"/>
          <w:lang w:val="en-GB"/>
        </w:rPr>
      </w:pPr>
      <w:r w:rsidRPr="000F3A73">
        <w:rPr>
          <w:b/>
          <w:sz w:val="40"/>
          <w:lang w:val="en-GB"/>
        </w:rPr>
        <w:t>ZDR INVESTMENTS SICAV A.S.</w:t>
      </w:r>
    </w:p>
    <w:p w14:paraId="381802B9" w14:textId="5F3F53FB" w:rsidR="002800E3" w:rsidRPr="00230714" w:rsidRDefault="002800E3" w:rsidP="00230714">
      <w:pPr>
        <w:jc w:val="center"/>
        <w:rPr>
          <w:b/>
          <w:bCs/>
          <w:sz w:val="40"/>
          <w:szCs w:val="40"/>
        </w:rPr>
      </w:pPr>
      <w:r>
        <w:rPr>
          <w:b/>
          <w:sz w:val="40"/>
        </w:rPr>
        <w:t>JAHRESABSCHLUSS ZUM 31.12.2023</w:t>
      </w:r>
    </w:p>
    <w:p w14:paraId="0047D83D" w14:textId="77777777" w:rsidR="00230714" w:rsidRDefault="00230714" w:rsidP="00040DF2">
      <w:pPr>
        <w:jc w:val="both"/>
        <w:rPr>
          <w:sz w:val="22"/>
          <w:szCs w:val="22"/>
        </w:rPr>
      </w:pPr>
      <w:r>
        <w:br w:type="page"/>
      </w:r>
    </w:p>
    <w:p w14:paraId="404DBE67" w14:textId="1533D38F" w:rsidR="002800E3" w:rsidRPr="006D75B9" w:rsidRDefault="002800E3" w:rsidP="006D75B9">
      <w:pPr>
        <w:spacing w:after="320"/>
        <w:jc w:val="both"/>
        <w:rPr>
          <w:sz w:val="30"/>
          <w:szCs w:val="30"/>
        </w:rPr>
      </w:pPr>
      <w:r>
        <w:rPr>
          <w:sz w:val="30"/>
        </w:rPr>
        <w:lastRenderedPageBreak/>
        <w:t>Inhalt</w:t>
      </w:r>
    </w:p>
    <w:p w14:paraId="4FFE4D91" w14:textId="46D3F58D" w:rsidR="00A73148" w:rsidRPr="00A73148" w:rsidRDefault="00C10089">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C10089">
        <w:rPr>
          <w:sz w:val="26"/>
        </w:rPr>
        <w:fldChar w:fldCharType="begin"/>
      </w:r>
      <w:r w:rsidRPr="00C10089">
        <w:rPr>
          <w:sz w:val="26"/>
        </w:rPr>
        <w:instrText xml:space="preserve"> TOC \o "1-2" \u </w:instrText>
      </w:r>
      <w:r w:rsidRPr="00C10089">
        <w:rPr>
          <w:sz w:val="26"/>
        </w:rPr>
        <w:fldChar w:fldCharType="separate"/>
      </w:r>
      <w:r w:rsidR="00A73148" w:rsidRPr="00A73148">
        <w:rPr>
          <w:noProof/>
          <w:sz w:val="24"/>
          <w:szCs w:val="24"/>
        </w:rPr>
        <w:t>1.</w:t>
      </w:r>
      <w:r w:rsidR="00A73148" w:rsidRPr="00A73148">
        <w:rPr>
          <w:rFonts w:asciiTheme="minorHAnsi" w:eastAsiaTheme="minorEastAsia" w:hAnsiTheme="minorHAnsi" w:cstheme="minorBidi"/>
          <w:noProof/>
          <w:sz w:val="24"/>
          <w:szCs w:val="24"/>
          <w:lang w:val="cs-CZ" w:eastAsia="cs-CZ"/>
        </w:rPr>
        <w:tab/>
      </w:r>
      <w:r w:rsidR="00A73148" w:rsidRPr="00A73148">
        <w:rPr>
          <w:noProof/>
          <w:sz w:val="24"/>
          <w:szCs w:val="24"/>
        </w:rPr>
        <w:t>Bilanz</w:t>
      </w:r>
      <w:r w:rsidR="00A73148" w:rsidRPr="00A73148">
        <w:rPr>
          <w:noProof/>
          <w:sz w:val="24"/>
          <w:szCs w:val="24"/>
        </w:rPr>
        <w:tab/>
      </w:r>
      <w:r w:rsidR="00A73148" w:rsidRPr="00A73148">
        <w:rPr>
          <w:noProof/>
          <w:sz w:val="24"/>
          <w:szCs w:val="24"/>
        </w:rPr>
        <w:fldChar w:fldCharType="begin"/>
      </w:r>
      <w:r w:rsidR="00A73148" w:rsidRPr="00A73148">
        <w:rPr>
          <w:noProof/>
          <w:sz w:val="24"/>
          <w:szCs w:val="24"/>
        </w:rPr>
        <w:instrText xml:space="preserve"> PAGEREF _Toc167784866 \h </w:instrText>
      </w:r>
      <w:r w:rsidR="00A73148" w:rsidRPr="00A73148">
        <w:rPr>
          <w:noProof/>
          <w:sz w:val="24"/>
          <w:szCs w:val="24"/>
        </w:rPr>
      </w:r>
      <w:r w:rsidR="00A73148" w:rsidRPr="00A73148">
        <w:rPr>
          <w:noProof/>
          <w:sz w:val="24"/>
          <w:szCs w:val="24"/>
        </w:rPr>
        <w:fldChar w:fldCharType="separate"/>
      </w:r>
      <w:r w:rsidR="00F71E9E">
        <w:rPr>
          <w:noProof/>
          <w:sz w:val="24"/>
          <w:szCs w:val="24"/>
        </w:rPr>
        <w:t>3</w:t>
      </w:r>
      <w:r w:rsidR="00A73148" w:rsidRPr="00A73148">
        <w:rPr>
          <w:noProof/>
          <w:sz w:val="24"/>
          <w:szCs w:val="24"/>
        </w:rPr>
        <w:fldChar w:fldCharType="end"/>
      </w:r>
    </w:p>
    <w:p w14:paraId="69F28113" w14:textId="63971343" w:rsidR="00A73148" w:rsidRPr="00A73148" w:rsidRDefault="00A73148">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2.</w:t>
      </w:r>
      <w:r w:rsidRPr="00A73148">
        <w:rPr>
          <w:rFonts w:asciiTheme="minorHAnsi" w:eastAsiaTheme="minorEastAsia" w:hAnsiTheme="minorHAnsi" w:cstheme="minorBidi"/>
          <w:noProof/>
          <w:sz w:val="24"/>
          <w:szCs w:val="24"/>
          <w:lang w:val="cs-CZ" w:eastAsia="cs-CZ"/>
        </w:rPr>
        <w:tab/>
      </w:r>
      <w:r w:rsidRPr="00A73148">
        <w:rPr>
          <w:noProof/>
          <w:sz w:val="24"/>
          <w:szCs w:val="24"/>
        </w:rPr>
        <w:t>Gewinn- und verlustrechnung für den zeitraum bis zum 31.12.2023</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_Toc167784867 \h </w:instrText>
      </w:r>
      <w:r w:rsidRPr="00A73148">
        <w:rPr>
          <w:noProof/>
          <w:sz w:val="24"/>
          <w:szCs w:val="24"/>
        </w:rPr>
      </w:r>
      <w:r w:rsidRPr="00A73148">
        <w:rPr>
          <w:noProof/>
          <w:sz w:val="24"/>
          <w:szCs w:val="24"/>
        </w:rPr>
        <w:fldChar w:fldCharType="separate"/>
      </w:r>
      <w:r w:rsidR="00F71E9E">
        <w:rPr>
          <w:noProof/>
          <w:sz w:val="24"/>
          <w:szCs w:val="24"/>
        </w:rPr>
        <w:t>4</w:t>
      </w:r>
      <w:r w:rsidRPr="00A73148">
        <w:rPr>
          <w:noProof/>
          <w:sz w:val="24"/>
          <w:szCs w:val="24"/>
        </w:rPr>
        <w:fldChar w:fldCharType="end"/>
      </w:r>
    </w:p>
    <w:p w14:paraId="174EA819" w14:textId="406B6F2D" w:rsidR="00A73148" w:rsidRPr="00A73148" w:rsidRDefault="00A73148">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3.</w:t>
      </w:r>
      <w:r w:rsidRPr="00A73148">
        <w:rPr>
          <w:rFonts w:asciiTheme="minorHAnsi" w:eastAsiaTheme="minorEastAsia" w:hAnsiTheme="minorHAnsi" w:cstheme="minorBidi"/>
          <w:noProof/>
          <w:sz w:val="24"/>
          <w:szCs w:val="24"/>
          <w:lang w:val="cs-CZ" w:eastAsia="cs-CZ"/>
        </w:rPr>
        <w:tab/>
      </w:r>
      <w:r w:rsidRPr="00A73148">
        <w:rPr>
          <w:noProof/>
          <w:sz w:val="24"/>
          <w:szCs w:val="24"/>
        </w:rPr>
        <w:t>Eigenkapitalveränderungsrechnung für den zeitraum bis zum 31.12.2023</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_Toc167784868 \h </w:instrText>
      </w:r>
      <w:r w:rsidRPr="00A73148">
        <w:rPr>
          <w:noProof/>
          <w:sz w:val="24"/>
          <w:szCs w:val="24"/>
        </w:rPr>
      </w:r>
      <w:r w:rsidRPr="00A73148">
        <w:rPr>
          <w:noProof/>
          <w:sz w:val="24"/>
          <w:szCs w:val="24"/>
        </w:rPr>
        <w:fldChar w:fldCharType="separate"/>
      </w:r>
      <w:r w:rsidR="00F71E9E">
        <w:rPr>
          <w:noProof/>
          <w:sz w:val="24"/>
          <w:szCs w:val="24"/>
        </w:rPr>
        <w:t>5</w:t>
      </w:r>
      <w:r w:rsidRPr="00A73148">
        <w:rPr>
          <w:noProof/>
          <w:sz w:val="24"/>
          <w:szCs w:val="24"/>
        </w:rPr>
        <w:fldChar w:fldCharType="end"/>
      </w:r>
    </w:p>
    <w:p w14:paraId="3F9373AA" w14:textId="0F182D3C" w:rsidR="00A73148" w:rsidRPr="00A73148" w:rsidRDefault="00A73148">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4.</w:t>
      </w:r>
      <w:r w:rsidRPr="00A73148">
        <w:rPr>
          <w:rFonts w:asciiTheme="minorHAnsi" w:eastAsiaTheme="minorEastAsia" w:hAnsiTheme="minorHAnsi" w:cstheme="minorBidi"/>
          <w:noProof/>
          <w:sz w:val="24"/>
          <w:szCs w:val="24"/>
          <w:lang w:val="cs-CZ" w:eastAsia="cs-CZ"/>
        </w:rPr>
        <w:tab/>
      </w:r>
      <w:r w:rsidRPr="00A73148">
        <w:rPr>
          <w:noProof/>
          <w:sz w:val="24"/>
          <w:szCs w:val="24"/>
        </w:rPr>
        <w:t>Allgemeine informationen</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_Toc167784869 \h </w:instrText>
      </w:r>
      <w:r w:rsidRPr="00A73148">
        <w:rPr>
          <w:noProof/>
          <w:sz w:val="24"/>
          <w:szCs w:val="24"/>
        </w:rPr>
      </w:r>
      <w:r w:rsidRPr="00A73148">
        <w:rPr>
          <w:noProof/>
          <w:sz w:val="24"/>
          <w:szCs w:val="24"/>
        </w:rPr>
        <w:fldChar w:fldCharType="separate"/>
      </w:r>
      <w:r w:rsidR="00F71E9E">
        <w:rPr>
          <w:noProof/>
          <w:sz w:val="24"/>
          <w:szCs w:val="24"/>
        </w:rPr>
        <w:t>7</w:t>
      </w:r>
      <w:r w:rsidRPr="00A73148">
        <w:rPr>
          <w:noProof/>
          <w:sz w:val="24"/>
          <w:szCs w:val="24"/>
        </w:rPr>
        <w:fldChar w:fldCharType="end"/>
      </w:r>
    </w:p>
    <w:p w14:paraId="16C91D86" w14:textId="71C06219"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4.1.</w:t>
      </w:r>
      <w:r w:rsidRPr="00A73148">
        <w:rPr>
          <w:rFonts w:asciiTheme="minorHAnsi" w:eastAsiaTheme="minorEastAsia" w:hAnsiTheme="minorHAnsi" w:cstheme="minorBidi"/>
          <w:noProof/>
          <w:sz w:val="24"/>
          <w:szCs w:val="24"/>
          <w:lang w:val="cs-CZ" w:eastAsia="cs-CZ"/>
        </w:rPr>
        <w:tab/>
      </w:r>
      <w:r w:rsidRPr="00A73148">
        <w:rPr>
          <w:noProof/>
          <w:sz w:val="24"/>
          <w:szCs w:val="24"/>
        </w:rPr>
        <w:t>Entstehung und charakteristik des fonds</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_Toc167784870 \h </w:instrText>
      </w:r>
      <w:r w:rsidRPr="00A73148">
        <w:rPr>
          <w:noProof/>
          <w:sz w:val="24"/>
          <w:szCs w:val="24"/>
        </w:rPr>
      </w:r>
      <w:r w:rsidRPr="00A73148">
        <w:rPr>
          <w:noProof/>
          <w:sz w:val="24"/>
          <w:szCs w:val="24"/>
        </w:rPr>
        <w:fldChar w:fldCharType="separate"/>
      </w:r>
      <w:r w:rsidR="00F71E9E">
        <w:rPr>
          <w:noProof/>
          <w:sz w:val="24"/>
          <w:szCs w:val="24"/>
        </w:rPr>
        <w:t>7</w:t>
      </w:r>
      <w:r w:rsidRPr="00A73148">
        <w:rPr>
          <w:noProof/>
          <w:sz w:val="24"/>
          <w:szCs w:val="24"/>
        </w:rPr>
        <w:fldChar w:fldCharType="end"/>
      </w:r>
    </w:p>
    <w:p w14:paraId="3C7E4C36" w14:textId="60367690"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4.2.</w:t>
      </w:r>
      <w:r w:rsidRPr="00A73148">
        <w:rPr>
          <w:rFonts w:asciiTheme="minorHAnsi" w:eastAsiaTheme="minorEastAsia" w:hAnsiTheme="minorHAnsi" w:cstheme="minorBidi"/>
          <w:noProof/>
          <w:sz w:val="24"/>
          <w:szCs w:val="24"/>
          <w:lang w:val="cs-CZ" w:eastAsia="cs-CZ"/>
        </w:rPr>
        <w:tab/>
      </w:r>
      <w:r w:rsidRPr="00A73148">
        <w:rPr>
          <w:noProof/>
          <w:sz w:val="24"/>
          <w:szCs w:val="24"/>
        </w:rPr>
        <w:t>Grundlagen für die aufstellung des jahresabschlusses</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_Toc167784871 \h </w:instrText>
      </w:r>
      <w:r w:rsidRPr="00A73148">
        <w:rPr>
          <w:noProof/>
          <w:sz w:val="24"/>
          <w:szCs w:val="24"/>
        </w:rPr>
      </w:r>
      <w:r w:rsidRPr="00A73148">
        <w:rPr>
          <w:noProof/>
          <w:sz w:val="24"/>
          <w:szCs w:val="24"/>
        </w:rPr>
        <w:fldChar w:fldCharType="separate"/>
      </w:r>
      <w:r w:rsidR="00F71E9E">
        <w:rPr>
          <w:noProof/>
          <w:sz w:val="24"/>
          <w:szCs w:val="24"/>
        </w:rPr>
        <w:t>8</w:t>
      </w:r>
      <w:r w:rsidRPr="00A73148">
        <w:rPr>
          <w:noProof/>
          <w:sz w:val="24"/>
          <w:szCs w:val="24"/>
        </w:rPr>
        <w:fldChar w:fldCharType="end"/>
      </w:r>
    </w:p>
    <w:p w14:paraId="543E85BD" w14:textId="5DC07AB7" w:rsidR="00A73148" w:rsidRPr="00A73148" w:rsidRDefault="00A73148">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5.</w:t>
      </w:r>
      <w:r w:rsidRPr="00A73148">
        <w:rPr>
          <w:rFonts w:asciiTheme="minorHAnsi" w:eastAsiaTheme="minorEastAsia" w:hAnsiTheme="minorHAnsi" w:cstheme="minorBidi"/>
          <w:noProof/>
          <w:sz w:val="24"/>
          <w:szCs w:val="24"/>
          <w:lang w:val="cs-CZ" w:eastAsia="cs-CZ"/>
        </w:rPr>
        <w:tab/>
      </w:r>
      <w:r w:rsidRPr="00A73148">
        <w:rPr>
          <w:noProof/>
          <w:sz w:val="24"/>
          <w:szCs w:val="24"/>
        </w:rPr>
        <w:t>Angewandte rechnungslegungsmethoden</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_Toc167784872 \h </w:instrText>
      </w:r>
      <w:r w:rsidRPr="00A73148">
        <w:rPr>
          <w:noProof/>
          <w:sz w:val="24"/>
          <w:szCs w:val="24"/>
        </w:rPr>
      </w:r>
      <w:r w:rsidRPr="00A73148">
        <w:rPr>
          <w:noProof/>
          <w:sz w:val="24"/>
          <w:szCs w:val="24"/>
        </w:rPr>
        <w:fldChar w:fldCharType="separate"/>
      </w:r>
      <w:r w:rsidR="00F71E9E">
        <w:rPr>
          <w:noProof/>
          <w:sz w:val="24"/>
          <w:szCs w:val="24"/>
        </w:rPr>
        <w:t>9</w:t>
      </w:r>
      <w:r w:rsidRPr="00A73148">
        <w:rPr>
          <w:noProof/>
          <w:sz w:val="24"/>
          <w:szCs w:val="24"/>
        </w:rPr>
        <w:fldChar w:fldCharType="end"/>
      </w:r>
    </w:p>
    <w:p w14:paraId="7D9D807E" w14:textId="33A021CD"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5.1.</w:t>
      </w:r>
      <w:r w:rsidRPr="00A73148">
        <w:rPr>
          <w:rFonts w:asciiTheme="minorHAnsi" w:eastAsiaTheme="minorEastAsia" w:hAnsiTheme="minorHAnsi" w:cstheme="minorBidi"/>
          <w:noProof/>
          <w:sz w:val="24"/>
          <w:szCs w:val="24"/>
          <w:lang w:val="cs-CZ" w:eastAsia="cs-CZ"/>
        </w:rPr>
        <w:tab/>
      </w:r>
      <w:r w:rsidRPr="00A73148">
        <w:rPr>
          <w:noProof/>
          <w:sz w:val="24"/>
          <w:szCs w:val="24"/>
        </w:rPr>
        <w:t>Buchungstag eines buchungsfalls</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_Toc167784873 \h </w:instrText>
      </w:r>
      <w:r w:rsidRPr="00A73148">
        <w:rPr>
          <w:noProof/>
          <w:sz w:val="24"/>
          <w:szCs w:val="24"/>
        </w:rPr>
      </w:r>
      <w:r w:rsidRPr="00A73148">
        <w:rPr>
          <w:noProof/>
          <w:sz w:val="24"/>
          <w:szCs w:val="24"/>
        </w:rPr>
        <w:fldChar w:fldCharType="separate"/>
      </w:r>
      <w:r w:rsidR="00F71E9E">
        <w:rPr>
          <w:noProof/>
          <w:sz w:val="24"/>
          <w:szCs w:val="24"/>
        </w:rPr>
        <w:t>9</w:t>
      </w:r>
      <w:r w:rsidRPr="00A73148">
        <w:rPr>
          <w:noProof/>
          <w:sz w:val="24"/>
          <w:szCs w:val="24"/>
        </w:rPr>
        <w:fldChar w:fldCharType="end"/>
      </w:r>
    </w:p>
    <w:p w14:paraId="1E576400" w14:textId="502E9310"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5.2.</w:t>
      </w:r>
      <w:r w:rsidRPr="00A73148">
        <w:rPr>
          <w:rFonts w:asciiTheme="minorHAnsi" w:eastAsiaTheme="minorEastAsia" w:hAnsiTheme="minorHAnsi" w:cstheme="minorBidi"/>
          <w:noProof/>
          <w:sz w:val="24"/>
          <w:szCs w:val="24"/>
          <w:lang w:val="cs-CZ" w:eastAsia="cs-CZ"/>
        </w:rPr>
        <w:tab/>
      </w:r>
      <w:r w:rsidRPr="00A73148">
        <w:rPr>
          <w:noProof/>
          <w:sz w:val="24"/>
          <w:szCs w:val="24"/>
        </w:rPr>
        <w:t>Finanzinstrumente</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_Toc167784874 \h </w:instrText>
      </w:r>
      <w:r w:rsidRPr="00A73148">
        <w:rPr>
          <w:noProof/>
          <w:sz w:val="24"/>
          <w:szCs w:val="24"/>
        </w:rPr>
      </w:r>
      <w:r w:rsidRPr="00A73148">
        <w:rPr>
          <w:noProof/>
          <w:sz w:val="24"/>
          <w:szCs w:val="24"/>
        </w:rPr>
        <w:fldChar w:fldCharType="separate"/>
      </w:r>
      <w:r w:rsidR="00F71E9E">
        <w:rPr>
          <w:noProof/>
          <w:sz w:val="24"/>
          <w:szCs w:val="24"/>
        </w:rPr>
        <w:t>9</w:t>
      </w:r>
      <w:r w:rsidRPr="00A73148">
        <w:rPr>
          <w:noProof/>
          <w:sz w:val="24"/>
          <w:szCs w:val="24"/>
        </w:rPr>
        <w:fldChar w:fldCharType="end"/>
      </w:r>
    </w:p>
    <w:p w14:paraId="19A42227" w14:textId="39558CFE"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5.3.</w:t>
      </w:r>
      <w:r w:rsidRPr="00A73148">
        <w:rPr>
          <w:rFonts w:asciiTheme="minorHAnsi" w:eastAsiaTheme="minorEastAsia" w:hAnsiTheme="minorHAnsi" w:cstheme="minorBidi"/>
          <w:noProof/>
          <w:sz w:val="24"/>
          <w:szCs w:val="24"/>
          <w:lang w:val="cs-CZ" w:eastAsia="cs-CZ"/>
        </w:rPr>
        <w:tab/>
      </w:r>
      <w:r w:rsidRPr="00A73148">
        <w:rPr>
          <w:noProof/>
          <w:sz w:val="24"/>
          <w:szCs w:val="24"/>
        </w:rPr>
        <w:t>Bewertung zum beizulegenden zeitwert</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_Toc167784875 \h </w:instrText>
      </w:r>
      <w:r w:rsidRPr="00A73148">
        <w:rPr>
          <w:noProof/>
          <w:sz w:val="24"/>
          <w:szCs w:val="24"/>
        </w:rPr>
      </w:r>
      <w:r w:rsidRPr="00A73148">
        <w:rPr>
          <w:noProof/>
          <w:sz w:val="24"/>
          <w:szCs w:val="24"/>
        </w:rPr>
        <w:fldChar w:fldCharType="separate"/>
      </w:r>
      <w:r w:rsidR="00F71E9E">
        <w:rPr>
          <w:noProof/>
          <w:sz w:val="24"/>
          <w:szCs w:val="24"/>
        </w:rPr>
        <w:t>9</w:t>
      </w:r>
      <w:r w:rsidRPr="00A73148">
        <w:rPr>
          <w:noProof/>
          <w:sz w:val="24"/>
          <w:szCs w:val="24"/>
        </w:rPr>
        <w:fldChar w:fldCharType="end"/>
      </w:r>
    </w:p>
    <w:p w14:paraId="48BEF6F4" w14:textId="2B715C9B"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5.4.</w:t>
      </w:r>
      <w:r w:rsidRPr="00A73148">
        <w:rPr>
          <w:rFonts w:asciiTheme="minorHAnsi" w:eastAsiaTheme="minorEastAsia" w:hAnsiTheme="minorHAnsi" w:cstheme="minorBidi"/>
          <w:noProof/>
          <w:sz w:val="24"/>
          <w:szCs w:val="24"/>
          <w:lang w:val="cs-CZ" w:eastAsia="cs-CZ"/>
        </w:rPr>
        <w:tab/>
      </w:r>
      <w:r w:rsidRPr="00A73148">
        <w:rPr>
          <w:noProof/>
          <w:sz w:val="24"/>
          <w:szCs w:val="24"/>
        </w:rPr>
        <w:t>Grundkapital des fonds</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_Toc167784876 \h </w:instrText>
      </w:r>
      <w:r w:rsidRPr="00A73148">
        <w:rPr>
          <w:noProof/>
          <w:sz w:val="24"/>
          <w:szCs w:val="24"/>
        </w:rPr>
      </w:r>
      <w:r w:rsidRPr="00A73148">
        <w:rPr>
          <w:noProof/>
          <w:sz w:val="24"/>
          <w:szCs w:val="24"/>
        </w:rPr>
        <w:fldChar w:fldCharType="separate"/>
      </w:r>
      <w:r w:rsidR="00F71E9E">
        <w:rPr>
          <w:noProof/>
          <w:sz w:val="24"/>
          <w:szCs w:val="24"/>
        </w:rPr>
        <w:t>10</w:t>
      </w:r>
      <w:r w:rsidRPr="00A73148">
        <w:rPr>
          <w:noProof/>
          <w:sz w:val="24"/>
          <w:szCs w:val="24"/>
        </w:rPr>
        <w:fldChar w:fldCharType="end"/>
      </w:r>
    </w:p>
    <w:p w14:paraId="6114BEBD" w14:textId="41021B46"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5.5.</w:t>
      </w:r>
      <w:r w:rsidRPr="00A73148">
        <w:rPr>
          <w:rFonts w:asciiTheme="minorHAnsi" w:eastAsiaTheme="minorEastAsia" w:hAnsiTheme="minorHAnsi" w:cstheme="minorBidi"/>
          <w:noProof/>
          <w:sz w:val="24"/>
          <w:szCs w:val="24"/>
          <w:lang w:val="cs-CZ" w:eastAsia="cs-CZ"/>
        </w:rPr>
        <w:tab/>
      </w:r>
      <w:r w:rsidRPr="00A73148">
        <w:rPr>
          <w:noProof/>
          <w:sz w:val="24"/>
          <w:szCs w:val="24"/>
        </w:rPr>
        <w:t>Verbundene unternehmen</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_Toc167784877 \h </w:instrText>
      </w:r>
      <w:r w:rsidRPr="00A73148">
        <w:rPr>
          <w:noProof/>
          <w:sz w:val="24"/>
          <w:szCs w:val="24"/>
        </w:rPr>
      </w:r>
      <w:r w:rsidRPr="00A73148">
        <w:rPr>
          <w:noProof/>
          <w:sz w:val="24"/>
          <w:szCs w:val="24"/>
        </w:rPr>
        <w:fldChar w:fldCharType="separate"/>
      </w:r>
      <w:r w:rsidR="00F71E9E">
        <w:rPr>
          <w:noProof/>
          <w:sz w:val="24"/>
          <w:szCs w:val="24"/>
        </w:rPr>
        <w:t>10</w:t>
      </w:r>
      <w:r w:rsidRPr="00A73148">
        <w:rPr>
          <w:noProof/>
          <w:sz w:val="24"/>
          <w:szCs w:val="24"/>
        </w:rPr>
        <w:fldChar w:fldCharType="end"/>
      </w:r>
    </w:p>
    <w:p w14:paraId="73E6392A" w14:textId="25A7C709"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5.6.</w:t>
      </w:r>
      <w:r w:rsidRPr="00A73148">
        <w:rPr>
          <w:rFonts w:asciiTheme="minorHAnsi" w:eastAsiaTheme="minorEastAsia" w:hAnsiTheme="minorHAnsi" w:cstheme="minorBidi"/>
          <w:noProof/>
          <w:sz w:val="24"/>
          <w:szCs w:val="24"/>
          <w:lang w:val="cs-CZ" w:eastAsia="cs-CZ"/>
        </w:rPr>
        <w:tab/>
      </w:r>
      <w:r w:rsidRPr="00A73148">
        <w:rPr>
          <w:noProof/>
          <w:sz w:val="24"/>
          <w:szCs w:val="24"/>
        </w:rPr>
        <w:t>Ereignisse nach dem bilanzstichtag</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_Toc167784878 \h </w:instrText>
      </w:r>
      <w:r w:rsidRPr="00A73148">
        <w:rPr>
          <w:noProof/>
          <w:sz w:val="24"/>
          <w:szCs w:val="24"/>
        </w:rPr>
      </w:r>
      <w:r w:rsidRPr="00A73148">
        <w:rPr>
          <w:noProof/>
          <w:sz w:val="24"/>
          <w:szCs w:val="24"/>
        </w:rPr>
        <w:fldChar w:fldCharType="separate"/>
      </w:r>
      <w:r w:rsidR="00F71E9E">
        <w:rPr>
          <w:noProof/>
          <w:sz w:val="24"/>
          <w:szCs w:val="24"/>
        </w:rPr>
        <w:t>11</w:t>
      </w:r>
      <w:r w:rsidRPr="00A73148">
        <w:rPr>
          <w:noProof/>
          <w:sz w:val="24"/>
          <w:szCs w:val="24"/>
        </w:rPr>
        <w:fldChar w:fldCharType="end"/>
      </w:r>
    </w:p>
    <w:p w14:paraId="622BFEA9" w14:textId="6FB46966" w:rsidR="00A73148" w:rsidRPr="00A73148" w:rsidRDefault="00A73148">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6.</w:t>
      </w:r>
      <w:r w:rsidRPr="00A73148">
        <w:rPr>
          <w:rFonts w:asciiTheme="minorHAnsi" w:eastAsiaTheme="minorEastAsia" w:hAnsiTheme="minorHAnsi" w:cstheme="minorBidi"/>
          <w:noProof/>
          <w:sz w:val="24"/>
          <w:szCs w:val="24"/>
          <w:lang w:val="cs-CZ" w:eastAsia="cs-CZ"/>
        </w:rPr>
        <w:tab/>
      </w:r>
      <w:r w:rsidRPr="00A73148">
        <w:rPr>
          <w:noProof/>
          <w:sz w:val="24"/>
          <w:szCs w:val="24"/>
        </w:rPr>
        <w:t>Zahlenangaben für die posten der bilanz und der gewinn- und verlustrechnung</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_Toc167784879 \h </w:instrText>
      </w:r>
      <w:r w:rsidRPr="00A73148">
        <w:rPr>
          <w:noProof/>
          <w:sz w:val="24"/>
          <w:szCs w:val="24"/>
        </w:rPr>
      </w:r>
      <w:r w:rsidRPr="00A73148">
        <w:rPr>
          <w:noProof/>
          <w:sz w:val="24"/>
          <w:szCs w:val="24"/>
        </w:rPr>
        <w:fldChar w:fldCharType="separate"/>
      </w:r>
      <w:r w:rsidR="00F71E9E">
        <w:rPr>
          <w:noProof/>
          <w:sz w:val="24"/>
          <w:szCs w:val="24"/>
        </w:rPr>
        <w:t>11</w:t>
      </w:r>
      <w:r w:rsidRPr="00A73148">
        <w:rPr>
          <w:noProof/>
          <w:sz w:val="24"/>
          <w:szCs w:val="24"/>
        </w:rPr>
        <w:fldChar w:fldCharType="end"/>
      </w:r>
    </w:p>
    <w:p w14:paraId="4CD583B8" w14:textId="5FC420BF"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6.1.</w:t>
      </w:r>
      <w:r w:rsidRPr="00A73148">
        <w:rPr>
          <w:rFonts w:asciiTheme="minorHAnsi" w:eastAsiaTheme="minorEastAsia" w:hAnsiTheme="minorHAnsi" w:cstheme="minorBidi"/>
          <w:noProof/>
          <w:sz w:val="24"/>
          <w:szCs w:val="24"/>
          <w:lang w:val="cs-CZ" w:eastAsia="cs-CZ"/>
        </w:rPr>
        <w:tab/>
      </w:r>
      <w:r w:rsidRPr="00A73148">
        <w:rPr>
          <w:noProof/>
          <w:sz w:val="24"/>
          <w:szCs w:val="24"/>
        </w:rPr>
        <w:t>Sonstige aktiva</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_Toc167784880 \h </w:instrText>
      </w:r>
      <w:r w:rsidRPr="00A73148">
        <w:rPr>
          <w:noProof/>
          <w:sz w:val="24"/>
          <w:szCs w:val="24"/>
        </w:rPr>
      </w:r>
      <w:r w:rsidRPr="00A73148">
        <w:rPr>
          <w:noProof/>
          <w:sz w:val="24"/>
          <w:szCs w:val="24"/>
        </w:rPr>
        <w:fldChar w:fldCharType="separate"/>
      </w:r>
      <w:r w:rsidR="00F71E9E">
        <w:rPr>
          <w:noProof/>
          <w:sz w:val="24"/>
          <w:szCs w:val="24"/>
        </w:rPr>
        <w:t>12</w:t>
      </w:r>
      <w:r w:rsidRPr="00A73148">
        <w:rPr>
          <w:noProof/>
          <w:sz w:val="24"/>
          <w:szCs w:val="24"/>
        </w:rPr>
        <w:fldChar w:fldCharType="end"/>
      </w:r>
    </w:p>
    <w:p w14:paraId="362AFA05" w14:textId="7EF5C983"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6.2.</w:t>
      </w:r>
      <w:r w:rsidRPr="00A73148">
        <w:rPr>
          <w:rFonts w:asciiTheme="minorHAnsi" w:eastAsiaTheme="minorEastAsia" w:hAnsiTheme="minorHAnsi" w:cstheme="minorBidi"/>
          <w:noProof/>
          <w:sz w:val="24"/>
          <w:szCs w:val="24"/>
          <w:lang w:val="cs-CZ" w:eastAsia="cs-CZ"/>
        </w:rPr>
        <w:tab/>
      </w:r>
      <w:r w:rsidRPr="00A73148">
        <w:rPr>
          <w:noProof/>
          <w:sz w:val="24"/>
          <w:szCs w:val="24"/>
        </w:rPr>
        <w:t>Grundkapital</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_Toc167784881 \h </w:instrText>
      </w:r>
      <w:r w:rsidRPr="00A73148">
        <w:rPr>
          <w:noProof/>
          <w:sz w:val="24"/>
          <w:szCs w:val="24"/>
        </w:rPr>
      </w:r>
      <w:r w:rsidRPr="00A73148">
        <w:rPr>
          <w:noProof/>
          <w:sz w:val="24"/>
          <w:szCs w:val="24"/>
        </w:rPr>
        <w:fldChar w:fldCharType="separate"/>
      </w:r>
      <w:r w:rsidR="00F71E9E">
        <w:rPr>
          <w:noProof/>
          <w:sz w:val="24"/>
          <w:szCs w:val="24"/>
        </w:rPr>
        <w:t>12</w:t>
      </w:r>
      <w:r w:rsidRPr="00A73148">
        <w:rPr>
          <w:noProof/>
          <w:sz w:val="24"/>
          <w:szCs w:val="24"/>
        </w:rPr>
        <w:fldChar w:fldCharType="end"/>
      </w:r>
    </w:p>
    <w:p w14:paraId="29C652EE" w14:textId="6A48970A"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6.3.</w:t>
      </w:r>
      <w:r w:rsidRPr="00A73148">
        <w:rPr>
          <w:rFonts w:asciiTheme="minorHAnsi" w:eastAsiaTheme="minorEastAsia" w:hAnsiTheme="minorHAnsi" w:cstheme="minorBidi"/>
          <w:noProof/>
          <w:sz w:val="24"/>
          <w:szCs w:val="24"/>
          <w:lang w:val="cs-CZ" w:eastAsia="cs-CZ"/>
        </w:rPr>
        <w:tab/>
      </w:r>
      <w:r w:rsidRPr="00A73148">
        <w:rPr>
          <w:noProof/>
          <w:sz w:val="24"/>
          <w:szCs w:val="24"/>
        </w:rPr>
        <w:t>Kapitalfonds</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_Toc167784882 \h </w:instrText>
      </w:r>
      <w:r w:rsidRPr="00A73148">
        <w:rPr>
          <w:noProof/>
          <w:sz w:val="24"/>
          <w:szCs w:val="24"/>
        </w:rPr>
      </w:r>
      <w:r w:rsidRPr="00A73148">
        <w:rPr>
          <w:noProof/>
          <w:sz w:val="24"/>
          <w:szCs w:val="24"/>
        </w:rPr>
        <w:fldChar w:fldCharType="separate"/>
      </w:r>
      <w:r w:rsidR="00F71E9E">
        <w:rPr>
          <w:noProof/>
          <w:sz w:val="24"/>
          <w:szCs w:val="24"/>
        </w:rPr>
        <w:t>12</w:t>
      </w:r>
      <w:r w:rsidRPr="00A73148">
        <w:rPr>
          <w:noProof/>
          <w:sz w:val="24"/>
          <w:szCs w:val="24"/>
        </w:rPr>
        <w:fldChar w:fldCharType="end"/>
      </w:r>
    </w:p>
    <w:p w14:paraId="38684862" w14:textId="45BCA3D8"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6.4.</w:t>
      </w:r>
      <w:r w:rsidRPr="00A73148">
        <w:rPr>
          <w:rFonts w:asciiTheme="minorHAnsi" w:eastAsiaTheme="minorEastAsia" w:hAnsiTheme="minorHAnsi" w:cstheme="minorBidi"/>
          <w:noProof/>
          <w:sz w:val="24"/>
          <w:szCs w:val="24"/>
          <w:lang w:val="cs-CZ" w:eastAsia="cs-CZ"/>
        </w:rPr>
        <w:tab/>
      </w:r>
      <w:r w:rsidRPr="00A73148">
        <w:rPr>
          <w:noProof/>
          <w:sz w:val="24"/>
          <w:szCs w:val="24"/>
        </w:rPr>
        <w:t>Gewinn- oder verlustvortrag</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_Toc167784883 \h </w:instrText>
      </w:r>
      <w:r w:rsidRPr="00A73148">
        <w:rPr>
          <w:noProof/>
          <w:sz w:val="24"/>
          <w:szCs w:val="24"/>
        </w:rPr>
      </w:r>
      <w:r w:rsidRPr="00A73148">
        <w:rPr>
          <w:noProof/>
          <w:sz w:val="24"/>
          <w:szCs w:val="24"/>
        </w:rPr>
        <w:fldChar w:fldCharType="separate"/>
      </w:r>
      <w:r w:rsidR="00F71E9E">
        <w:rPr>
          <w:noProof/>
          <w:sz w:val="24"/>
          <w:szCs w:val="24"/>
        </w:rPr>
        <w:t>13</w:t>
      </w:r>
      <w:r w:rsidRPr="00A73148">
        <w:rPr>
          <w:noProof/>
          <w:sz w:val="24"/>
          <w:szCs w:val="24"/>
        </w:rPr>
        <w:fldChar w:fldCharType="end"/>
      </w:r>
    </w:p>
    <w:p w14:paraId="13AD9BDD" w14:textId="50B998DB"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6.5.</w:t>
      </w:r>
      <w:r w:rsidRPr="00A73148">
        <w:rPr>
          <w:rFonts w:asciiTheme="minorHAnsi" w:eastAsiaTheme="minorEastAsia" w:hAnsiTheme="minorHAnsi" w:cstheme="minorBidi"/>
          <w:noProof/>
          <w:sz w:val="24"/>
          <w:szCs w:val="24"/>
          <w:lang w:val="cs-CZ" w:eastAsia="cs-CZ"/>
        </w:rPr>
        <w:tab/>
      </w:r>
      <w:r w:rsidRPr="00A73148">
        <w:rPr>
          <w:noProof/>
          <w:sz w:val="24"/>
          <w:szCs w:val="24"/>
        </w:rPr>
        <w:t>Zur verwaltung übergegebene vermögenswerte</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_Toc167784884 \h </w:instrText>
      </w:r>
      <w:r w:rsidRPr="00A73148">
        <w:rPr>
          <w:noProof/>
          <w:sz w:val="24"/>
          <w:szCs w:val="24"/>
        </w:rPr>
      </w:r>
      <w:r w:rsidRPr="00A73148">
        <w:rPr>
          <w:noProof/>
          <w:sz w:val="24"/>
          <w:szCs w:val="24"/>
        </w:rPr>
        <w:fldChar w:fldCharType="separate"/>
      </w:r>
      <w:r w:rsidR="00F71E9E">
        <w:rPr>
          <w:noProof/>
          <w:sz w:val="24"/>
          <w:szCs w:val="24"/>
        </w:rPr>
        <w:t>13</w:t>
      </w:r>
      <w:r w:rsidRPr="00A73148">
        <w:rPr>
          <w:noProof/>
          <w:sz w:val="24"/>
          <w:szCs w:val="24"/>
        </w:rPr>
        <w:fldChar w:fldCharType="end"/>
      </w:r>
    </w:p>
    <w:p w14:paraId="064132F9" w14:textId="13CE71A8" w:rsidR="00A73148" w:rsidRPr="00A73148" w:rsidRDefault="00A73148">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7.</w:t>
      </w:r>
      <w:r w:rsidRPr="00A73148">
        <w:rPr>
          <w:rFonts w:asciiTheme="minorHAnsi" w:eastAsiaTheme="minorEastAsia" w:hAnsiTheme="minorHAnsi" w:cstheme="minorBidi"/>
          <w:noProof/>
          <w:sz w:val="24"/>
          <w:szCs w:val="24"/>
          <w:lang w:val="cs-CZ" w:eastAsia="cs-CZ"/>
        </w:rPr>
        <w:tab/>
      </w:r>
      <w:r w:rsidRPr="00A73148">
        <w:rPr>
          <w:noProof/>
          <w:sz w:val="24"/>
          <w:szCs w:val="24"/>
        </w:rPr>
        <w:t>Gegenseitige beziehungen</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_Toc167784885 \h </w:instrText>
      </w:r>
      <w:r w:rsidRPr="00A73148">
        <w:rPr>
          <w:noProof/>
          <w:sz w:val="24"/>
          <w:szCs w:val="24"/>
        </w:rPr>
      </w:r>
      <w:r w:rsidRPr="00A73148">
        <w:rPr>
          <w:noProof/>
          <w:sz w:val="24"/>
          <w:szCs w:val="24"/>
        </w:rPr>
        <w:fldChar w:fldCharType="separate"/>
      </w:r>
      <w:r w:rsidR="00F71E9E">
        <w:rPr>
          <w:noProof/>
          <w:sz w:val="24"/>
          <w:szCs w:val="24"/>
        </w:rPr>
        <w:t>13</w:t>
      </w:r>
      <w:r w:rsidRPr="00A73148">
        <w:rPr>
          <w:noProof/>
          <w:sz w:val="24"/>
          <w:szCs w:val="24"/>
        </w:rPr>
        <w:fldChar w:fldCharType="end"/>
      </w:r>
    </w:p>
    <w:p w14:paraId="0E4D2B17" w14:textId="5EABCE9E" w:rsidR="00A73148" w:rsidRPr="00A73148" w:rsidRDefault="00A73148">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8.</w:t>
      </w:r>
      <w:r w:rsidRPr="00A73148">
        <w:rPr>
          <w:rFonts w:asciiTheme="minorHAnsi" w:eastAsiaTheme="minorEastAsia" w:hAnsiTheme="minorHAnsi" w:cstheme="minorBidi"/>
          <w:noProof/>
          <w:sz w:val="24"/>
          <w:szCs w:val="24"/>
          <w:lang w:val="cs-CZ" w:eastAsia="cs-CZ"/>
        </w:rPr>
        <w:tab/>
      </w:r>
      <w:r w:rsidRPr="00A73148">
        <w:rPr>
          <w:noProof/>
          <w:sz w:val="24"/>
          <w:szCs w:val="24"/>
        </w:rPr>
        <w:t>Beizulegender zeitwert der aktiva und passiva</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_Toc167784886 \h </w:instrText>
      </w:r>
      <w:r w:rsidRPr="00A73148">
        <w:rPr>
          <w:noProof/>
          <w:sz w:val="24"/>
          <w:szCs w:val="24"/>
        </w:rPr>
      </w:r>
      <w:r w:rsidRPr="00A73148">
        <w:rPr>
          <w:noProof/>
          <w:sz w:val="24"/>
          <w:szCs w:val="24"/>
        </w:rPr>
        <w:fldChar w:fldCharType="separate"/>
      </w:r>
      <w:r w:rsidR="00F71E9E">
        <w:rPr>
          <w:noProof/>
          <w:sz w:val="24"/>
          <w:szCs w:val="24"/>
        </w:rPr>
        <w:t>13</w:t>
      </w:r>
      <w:r w:rsidRPr="00A73148">
        <w:rPr>
          <w:noProof/>
          <w:sz w:val="24"/>
          <w:szCs w:val="24"/>
        </w:rPr>
        <w:fldChar w:fldCharType="end"/>
      </w:r>
    </w:p>
    <w:p w14:paraId="417AC069" w14:textId="45259361" w:rsidR="00A73148" w:rsidRPr="00A73148" w:rsidRDefault="00A73148">
      <w:pPr>
        <w:pStyle w:val="Obsah1"/>
        <w:tabs>
          <w:tab w:val="left" w:pos="44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9.</w:t>
      </w:r>
      <w:r w:rsidRPr="00A73148">
        <w:rPr>
          <w:rFonts w:asciiTheme="minorHAnsi" w:eastAsiaTheme="minorEastAsia" w:hAnsiTheme="minorHAnsi" w:cstheme="minorBidi"/>
          <w:noProof/>
          <w:sz w:val="24"/>
          <w:szCs w:val="24"/>
          <w:lang w:val="cs-CZ" w:eastAsia="cs-CZ"/>
        </w:rPr>
        <w:tab/>
      </w:r>
      <w:r w:rsidRPr="00A73148">
        <w:rPr>
          <w:noProof/>
          <w:sz w:val="24"/>
          <w:szCs w:val="24"/>
        </w:rPr>
        <w:t>Übersicht über die finanzinstrumente zum 31.12.2023:</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_Toc167784887 \h </w:instrText>
      </w:r>
      <w:r w:rsidRPr="00A73148">
        <w:rPr>
          <w:noProof/>
          <w:sz w:val="24"/>
          <w:szCs w:val="24"/>
        </w:rPr>
      </w:r>
      <w:r w:rsidRPr="00A73148">
        <w:rPr>
          <w:noProof/>
          <w:sz w:val="24"/>
          <w:szCs w:val="24"/>
        </w:rPr>
        <w:fldChar w:fldCharType="separate"/>
      </w:r>
      <w:r w:rsidR="00F71E9E">
        <w:rPr>
          <w:noProof/>
          <w:sz w:val="24"/>
          <w:szCs w:val="24"/>
        </w:rPr>
        <w:t>13</w:t>
      </w:r>
      <w:r w:rsidRPr="00A73148">
        <w:rPr>
          <w:noProof/>
          <w:sz w:val="24"/>
          <w:szCs w:val="24"/>
        </w:rPr>
        <w:fldChar w:fldCharType="end"/>
      </w:r>
    </w:p>
    <w:p w14:paraId="1D3458AF" w14:textId="3921084F" w:rsidR="00A73148" w:rsidRPr="00A73148" w:rsidRDefault="00A73148">
      <w:pPr>
        <w:pStyle w:val="Obsah1"/>
        <w:tabs>
          <w:tab w:val="left" w:pos="66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10.</w:t>
      </w:r>
      <w:r w:rsidRPr="00A73148">
        <w:rPr>
          <w:rFonts w:asciiTheme="minorHAnsi" w:eastAsiaTheme="minorEastAsia" w:hAnsiTheme="minorHAnsi" w:cstheme="minorBidi"/>
          <w:noProof/>
          <w:sz w:val="24"/>
          <w:szCs w:val="24"/>
          <w:lang w:val="cs-CZ" w:eastAsia="cs-CZ"/>
        </w:rPr>
        <w:tab/>
      </w:r>
      <w:r w:rsidRPr="00A73148">
        <w:rPr>
          <w:noProof/>
          <w:sz w:val="24"/>
          <w:szCs w:val="24"/>
        </w:rPr>
        <w:t>Risiken</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_Toc167784888 \h </w:instrText>
      </w:r>
      <w:r w:rsidRPr="00A73148">
        <w:rPr>
          <w:noProof/>
          <w:sz w:val="24"/>
          <w:szCs w:val="24"/>
        </w:rPr>
      </w:r>
      <w:r w:rsidRPr="00A73148">
        <w:rPr>
          <w:noProof/>
          <w:sz w:val="24"/>
          <w:szCs w:val="24"/>
        </w:rPr>
        <w:fldChar w:fldCharType="separate"/>
      </w:r>
      <w:r w:rsidR="00F71E9E">
        <w:rPr>
          <w:noProof/>
          <w:sz w:val="24"/>
          <w:szCs w:val="24"/>
        </w:rPr>
        <w:t>13</w:t>
      </w:r>
      <w:r w:rsidRPr="00A73148">
        <w:rPr>
          <w:noProof/>
          <w:sz w:val="24"/>
          <w:szCs w:val="24"/>
        </w:rPr>
        <w:fldChar w:fldCharType="end"/>
      </w:r>
    </w:p>
    <w:p w14:paraId="7C3AF18F" w14:textId="51224E0C"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10.1.</w:t>
      </w:r>
      <w:r w:rsidRPr="00A73148">
        <w:rPr>
          <w:rFonts w:asciiTheme="minorHAnsi" w:eastAsiaTheme="minorEastAsia" w:hAnsiTheme="minorHAnsi" w:cstheme="minorBidi"/>
          <w:noProof/>
          <w:sz w:val="24"/>
          <w:szCs w:val="24"/>
          <w:lang w:val="cs-CZ" w:eastAsia="cs-CZ"/>
        </w:rPr>
        <w:tab/>
      </w:r>
      <w:r w:rsidRPr="00A73148">
        <w:rPr>
          <w:noProof/>
          <w:sz w:val="24"/>
          <w:szCs w:val="24"/>
        </w:rPr>
        <w:t>Währungsrisiko</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_Toc167784889 \h </w:instrText>
      </w:r>
      <w:r w:rsidRPr="00A73148">
        <w:rPr>
          <w:noProof/>
          <w:sz w:val="24"/>
          <w:szCs w:val="24"/>
        </w:rPr>
      </w:r>
      <w:r w:rsidRPr="00A73148">
        <w:rPr>
          <w:noProof/>
          <w:sz w:val="24"/>
          <w:szCs w:val="24"/>
        </w:rPr>
        <w:fldChar w:fldCharType="separate"/>
      </w:r>
      <w:r w:rsidR="00F71E9E">
        <w:rPr>
          <w:noProof/>
          <w:sz w:val="24"/>
          <w:szCs w:val="24"/>
        </w:rPr>
        <w:t>13</w:t>
      </w:r>
      <w:r w:rsidRPr="00A73148">
        <w:rPr>
          <w:noProof/>
          <w:sz w:val="24"/>
          <w:szCs w:val="24"/>
        </w:rPr>
        <w:fldChar w:fldCharType="end"/>
      </w:r>
    </w:p>
    <w:p w14:paraId="7C51FFCB" w14:textId="583C236B"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10.2.</w:t>
      </w:r>
      <w:r w:rsidRPr="00A73148">
        <w:rPr>
          <w:rFonts w:asciiTheme="minorHAnsi" w:eastAsiaTheme="minorEastAsia" w:hAnsiTheme="minorHAnsi" w:cstheme="minorBidi"/>
          <w:noProof/>
          <w:sz w:val="24"/>
          <w:szCs w:val="24"/>
          <w:lang w:val="cs-CZ" w:eastAsia="cs-CZ"/>
        </w:rPr>
        <w:tab/>
      </w:r>
      <w:r w:rsidRPr="00A73148">
        <w:rPr>
          <w:noProof/>
          <w:sz w:val="24"/>
          <w:szCs w:val="24"/>
        </w:rPr>
        <w:t>Kreditrisiko</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_Toc167784890 \h </w:instrText>
      </w:r>
      <w:r w:rsidRPr="00A73148">
        <w:rPr>
          <w:noProof/>
          <w:sz w:val="24"/>
          <w:szCs w:val="24"/>
        </w:rPr>
      </w:r>
      <w:r w:rsidRPr="00A73148">
        <w:rPr>
          <w:noProof/>
          <w:sz w:val="24"/>
          <w:szCs w:val="24"/>
        </w:rPr>
        <w:fldChar w:fldCharType="separate"/>
      </w:r>
      <w:r w:rsidR="00F71E9E">
        <w:rPr>
          <w:noProof/>
          <w:sz w:val="24"/>
          <w:szCs w:val="24"/>
        </w:rPr>
        <w:t>14</w:t>
      </w:r>
      <w:r w:rsidRPr="00A73148">
        <w:rPr>
          <w:noProof/>
          <w:sz w:val="24"/>
          <w:szCs w:val="24"/>
        </w:rPr>
        <w:fldChar w:fldCharType="end"/>
      </w:r>
    </w:p>
    <w:p w14:paraId="70CF10E5" w14:textId="0AAD90DC" w:rsidR="00A73148" w:rsidRPr="00A73148" w:rsidRDefault="00A73148">
      <w:pPr>
        <w:pStyle w:val="Obsah2"/>
        <w:tabs>
          <w:tab w:val="left" w:pos="88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10.3.</w:t>
      </w:r>
      <w:r w:rsidRPr="00A73148">
        <w:rPr>
          <w:rFonts w:asciiTheme="minorHAnsi" w:eastAsiaTheme="minorEastAsia" w:hAnsiTheme="minorHAnsi" w:cstheme="minorBidi"/>
          <w:noProof/>
          <w:sz w:val="24"/>
          <w:szCs w:val="24"/>
          <w:lang w:val="cs-CZ" w:eastAsia="cs-CZ"/>
        </w:rPr>
        <w:tab/>
      </w:r>
      <w:r w:rsidRPr="00A73148">
        <w:rPr>
          <w:noProof/>
          <w:sz w:val="24"/>
          <w:szCs w:val="24"/>
        </w:rPr>
        <w:t>Liquiditätsrisiko</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_Toc167784891 \h </w:instrText>
      </w:r>
      <w:r w:rsidRPr="00A73148">
        <w:rPr>
          <w:noProof/>
          <w:sz w:val="24"/>
          <w:szCs w:val="24"/>
        </w:rPr>
      </w:r>
      <w:r w:rsidRPr="00A73148">
        <w:rPr>
          <w:noProof/>
          <w:sz w:val="24"/>
          <w:szCs w:val="24"/>
        </w:rPr>
        <w:fldChar w:fldCharType="separate"/>
      </w:r>
      <w:r w:rsidR="00F71E9E">
        <w:rPr>
          <w:noProof/>
          <w:sz w:val="24"/>
          <w:szCs w:val="24"/>
        </w:rPr>
        <w:t>14</w:t>
      </w:r>
      <w:r w:rsidRPr="00A73148">
        <w:rPr>
          <w:noProof/>
          <w:sz w:val="24"/>
          <w:szCs w:val="24"/>
        </w:rPr>
        <w:fldChar w:fldCharType="end"/>
      </w:r>
    </w:p>
    <w:p w14:paraId="52C80EA9" w14:textId="366F17F4" w:rsidR="00A73148" w:rsidRPr="00A73148" w:rsidRDefault="00A73148">
      <w:pPr>
        <w:pStyle w:val="Obsah1"/>
        <w:tabs>
          <w:tab w:val="left" w:pos="660"/>
          <w:tab w:val="right" w:leader="dot" w:pos="9628"/>
        </w:tabs>
        <w:rPr>
          <w:rFonts w:asciiTheme="minorHAnsi" w:eastAsiaTheme="minorEastAsia" w:hAnsiTheme="minorHAnsi" w:cstheme="minorBidi"/>
          <w:noProof/>
          <w:sz w:val="24"/>
          <w:szCs w:val="24"/>
          <w:lang w:val="cs-CZ" w:eastAsia="cs-CZ"/>
        </w:rPr>
      </w:pPr>
      <w:r w:rsidRPr="00A73148">
        <w:rPr>
          <w:noProof/>
          <w:sz w:val="24"/>
          <w:szCs w:val="24"/>
        </w:rPr>
        <w:t>11.</w:t>
      </w:r>
      <w:r w:rsidRPr="00A73148">
        <w:rPr>
          <w:rFonts w:asciiTheme="minorHAnsi" w:eastAsiaTheme="minorEastAsia" w:hAnsiTheme="minorHAnsi" w:cstheme="minorBidi"/>
          <w:noProof/>
          <w:sz w:val="24"/>
          <w:szCs w:val="24"/>
          <w:lang w:val="cs-CZ" w:eastAsia="cs-CZ"/>
        </w:rPr>
        <w:tab/>
      </w:r>
      <w:r w:rsidRPr="00A73148">
        <w:rPr>
          <w:noProof/>
          <w:sz w:val="24"/>
          <w:szCs w:val="24"/>
        </w:rPr>
        <w:t>Ereignisse nach dem bilanzstichtag</w:t>
      </w:r>
      <w:r w:rsidRPr="00A73148">
        <w:rPr>
          <w:noProof/>
          <w:sz w:val="24"/>
          <w:szCs w:val="24"/>
        </w:rPr>
        <w:tab/>
      </w:r>
      <w:r w:rsidRPr="00A73148">
        <w:rPr>
          <w:noProof/>
          <w:sz w:val="24"/>
          <w:szCs w:val="24"/>
        </w:rPr>
        <w:fldChar w:fldCharType="begin"/>
      </w:r>
      <w:r w:rsidRPr="00A73148">
        <w:rPr>
          <w:noProof/>
          <w:sz w:val="24"/>
          <w:szCs w:val="24"/>
        </w:rPr>
        <w:instrText xml:space="preserve"> PAGEREF _Toc167784892 \h </w:instrText>
      </w:r>
      <w:r w:rsidRPr="00A73148">
        <w:rPr>
          <w:noProof/>
          <w:sz w:val="24"/>
          <w:szCs w:val="24"/>
        </w:rPr>
      </w:r>
      <w:r w:rsidRPr="00A73148">
        <w:rPr>
          <w:noProof/>
          <w:sz w:val="24"/>
          <w:szCs w:val="24"/>
        </w:rPr>
        <w:fldChar w:fldCharType="separate"/>
      </w:r>
      <w:r w:rsidR="00F71E9E">
        <w:rPr>
          <w:noProof/>
          <w:sz w:val="24"/>
          <w:szCs w:val="24"/>
        </w:rPr>
        <w:t>14</w:t>
      </w:r>
      <w:r w:rsidRPr="00A73148">
        <w:rPr>
          <w:noProof/>
          <w:sz w:val="24"/>
          <w:szCs w:val="24"/>
        </w:rPr>
        <w:fldChar w:fldCharType="end"/>
      </w:r>
    </w:p>
    <w:p w14:paraId="0EF6619C" w14:textId="5FE751C5" w:rsidR="00C10089" w:rsidRDefault="00C10089" w:rsidP="002800E3">
      <w:pPr>
        <w:rPr>
          <w:sz w:val="22"/>
        </w:rPr>
      </w:pPr>
      <w:r w:rsidRPr="00C10089">
        <w:rPr>
          <w:sz w:val="26"/>
        </w:rPr>
        <w:fldChar w:fldCharType="end"/>
      </w:r>
    </w:p>
    <w:p w14:paraId="104A625A" w14:textId="6D9EC2DE" w:rsidR="006D75B9" w:rsidRDefault="00C10089" w:rsidP="002800E3">
      <w:pPr>
        <w:rPr>
          <w:sz w:val="22"/>
          <w:szCs w:val="22"/>
        </w:rPr>
      </w:pPr>
      <w:r>
        <w:rPr>
          <w:noProof/>
        </w:rPr>
        <w:drawing>
          <wp:anchor distT="0" distB="0" distL="114300" distR="114300" simplePos="0" relativeHeight="251685888" behindDoc="1" locked="0" layoutInCell="1" allowOverlap="1" wp14:anchorId="53365B55" wp14:editId="3C5553A2">
            <wp:simplePos x="0" y="0"/>
            <wp:positionH relativeFrom="margin">
              <wp:posOffset>4147719</wp:posOffset>
            </wp:positionH>
            <wp:positionV relativeFrom="page">
              <wp:posOffset>9098102</wp:posOffset>
            </wp:positionV>
            <wp:extent cx="917575" cy="923290"/>
            <wp:effectExtent l="0" t="0" r="0" b="0"/>
            <wp:wrapNone/>
            <wp:docPr id="39"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rPr>
          <w:noProof/>
        </w:rPr>
        <w:drawing>
          <wp:anchor distT="0" distB="0" distL="114300" distR="114300" simplePos="0" relativeHeight="251673600" behindDoc="1" locked="0" layoutInCell="1" allowOverlap="1" wp14:anchorId="2530D4BE" wp14:editId="1DCAF0A5">
            <wp:simplePos x="0" y="0"/>
            <wp:positionH relativeFrom="margin">
              <wp:posOffset>4279392</wp:posOffset>
            </wp:positionH>
            <wp:positionV relativeFrom="paragraph">
              <wp:posOffset>3036367</wp:posOffset>
            </wp:positionV>
            <wp:extent cx="917575" cy="923290"/>
            <wp:effectExtent l="0" t="0" r="0" b="0"/>
            <wp:wrapNone/>
            <wp:docPr id="7"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p>
    <w:p w14:paraId="0FE26C5A" w14:textId="2364D07B" w:rsidR="006D75B9" w:rsidRDefault="006D75B9" w:rsidP="002800E3">
      <w:pPr>
        <w:rPr>
          <w:sz w:val="22"/>
          <w:szCs w:val="22"/>
        </w:rPr>
        <w:sectPr w:rsidR="006D75B9" w:rsidSect="006D75B9">
          <w:headerReference w:type="default" r:id="rId32"/>
          <w:footerReference w:type="default" r:id="rId33"/>
          <w:pgSz w:w="11906" w:h="16838" w:code="9"/>
          <w:pgMar w:top="2268" w:right="1134" w:bottom="1418" w:left="1134" w:header="1474" w:footer="1106" w:gutter="0"/>
          <w:pgNumType w:start="1"/>
          <w:cols w:space="708"/>
          <w:docGrid w:linePitch="360"/>
        </w:sectPr>
      </w:pPr>
    </w:p>
    <w:p w14:paraId="2253BDA6" w14:textId="203F6219" w:rsidR="00C468CA" w:rsidRDefault="00C468CA" w:rsidP="00C468CA"/>
    <w:p w14:paraId="3AA32C8E" w14:textId="77777777" w:rsidR="009411DC" w:rsidRDefault="009411DC" w:rsidP="00C468CA"/>
    <w:p w14:paraId="47C60471" w14:textId="67938B4B" w:rsidR="002800E3" w:rsidRPr="00C73A8F" w:rsidRDefault="002800E3" w:rsidP="00C73A8F">
      <w:pPr>
        <w:pStyle w:val="Nadpis1"/>
        <w:spacing w:after="320"/>
      </w:pPr>
      <w:bookmarkStart w:id="1" w:name="_Toc167784866"/>
      <w:r>
        <w:t>BILANZ</w:t>
      </w:r>
      <w:bookmarkEnd w:id="1"/>
    </w:p>
    <w:p w14:paraId="12A54223" w14:textId="77777777" w:rsidR="002800E3" w:rsidRPr="00C73A8F" w:rsidRDefault="002800E3" w:rsidP="002800E3">
      <w:pPr>
        <w:rPr>
          <w:sz w:val="18"/>
          <w:szCs w:val="18"/>
        </w:rPr>
      </w:pPr>
      <w:r>
        <w:rPr>
          <w:sz w:val="18"/>
        </w:rPr>
        <w:t>In Tsd. CZK</w:t>
      </w:r>
    </w:p>
    <w:p w14:paraId="41EB847D" w14:textId="77777777" w:rsidR="00C73A8F" w:rsidRDefault="00C73A8F" w:rsidP="002800E3">
      <w:pPr>
        <w:rPr>
          <w:sz w:val="18"/>
          <w:szCs w:val="18"/>
        </w:rPr>
      </w:pPr>
    </w:p>
    <w:tbl>
      <w:tblPr>
        <w:tblStyle w:val="Mkatabulky"/>
        <w:tblW w:w="9752"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1028"/>
        <w:gridCol w:w="4400"/>
        <w:gridCol w:w="1807"/>
        <w:gridCol w:w="1272"/>
        <w:gridCol w:w="1245"/>
      </w:tblGrid>
      <w:tr w:rsidR="00C73A8F" w:rsidRPr="00C73A8F" w14:paraId="5ABA18A8" w14:textId="77777777" w:rsidTr="00C468CA">
        <w:trPr>
          <w:trHeight w:val="595"/>
        </w:trPr>
        <w:tc>
          <w:tcPr>
            <w:tcW w:w="737" w:type="dxa"/>
            <w:tcBorders>
              <w:bottom w:val="single" w:sz="18" w:space="0" w:color="57CFFD"/>
            </w:tcBorders>
          </w:tcPr>
          <w:p w14:paraId="4D6D2E1C" w14:textId="77777777" w:rsidR="00C73A8F" w:rsidRPr="00C73A8F" w:rsidRDefault="00C73A8F" w:rsidP="007B44BA">
            <w:pPr>
              <w:rPr>
                <w:b/>
                <w:bCs/>
              </w:rPr>
            </w:pPr>
            <w:r>
              <w:rPr>
                <w:b/>
              </w:rPr>
              <w:t>Nummer</w:t>
            </w:r>
          </w:p>
        </w:tc>
        <w:tc>
          <w:tcPr>
            <w:tcW w:w="4649" w:type="dxa"/>
            <w:tcBorders>
              <w:bottom w:val="single" w:sz="18" w:space="0" w:color="57CFFD"/>
            </w:tcBorders>
          </w:tcPr>
          <w:p w14:paraId="708EBA5E" w14:textId="77777777" w:rsidR="00C73A8F" w:rsidRPr="00C73A8F" w:rsidRDefault="00C73A8F" w:rsidP="007B44BA">
            <w:pPr>
              <w:rPr>
                <w:b/>
                <w:bCs/>
              </w:rPr>
            </w:pPr>
            <w:r>
              <w:rPr>
                <w:b/>
              </w:rPr>
              <w:t>Aktiva</w:t>
            </w:r>
          </w:p>
        </w:tc>
        <w:tc>
          <w:tcPr>
            <w:tcW w:w="1843" w:type="dxa"/>
            <w:tcBorders>
              <w:bottom w:val="single" w:sz="18" w:space="0" w:color="57CFFD"/>
            </w:tcBorders>
          </w:tcPr>
          <w:p w14:paraId="2E908BF4" w14:textId="77777777" w:rsidR="00C73A8F" w:rsidRPr="00C73A8F" w:rsidRDefault="00C73A8F" w:rsidP="00C73A8F">
            <w:pPr>
              <w:jc w:val="center"/>
              <w:rPr>
                <w:b/>
                <w:bCs/>
              </w:rPr>
            </w:pPr>
            <w:r>
              <w:rPr>
                <w:b/>
              </w:rPr>
              <w:t>Anmerkung</w:t>
            </w:r>
          </w:p>
        </w:tc>
        <w:tc>
          <w:tcPr>
            <w:tcW w:w="1276" w:type="dxa"/>
            <w:tcBorders>
              <w:bottom w:val="single" w:sz="18" w:space="0" w:color="57CFFD"/>
            </w:tcBorders>
          </w:tcPr>
          <w:p w14:paraId="7A55E761" w14:textId="77777777" w:rsidR="00C73A8F" w:rsidRPr="00C73A8F" w:rsidRDefault="00C73A8F" w:rsidP="00C73A8F">
            <w:pPr>
              <w:jc w:val="center"/>
              <w:rPr>
                <w:b/>
                <w:bCs/>
              </w:rPr>
            </w:pPr>
            <w:r>
              <w:rPr>
                <w:b/>
              </w:rPr>
              <w:t>Stand zum 31.12.2023</w:t>
            </w:r>
          </w:p>
        </w:tc>
        <w:tc>
          <w:tcPr>
            <w:tcW w:w="1247" w:type="dxa"/>
            <w:tcBorders>
              <w:bottom w:val="single" w:sz="18" w:space="0" w:color="57CFFD"/>
            </w:tcBorders>
          </w:tcPr>
          <w:p w14:paraId="4C9A68FA" w14:textId="77777777" w:rsidR="00C73A8F" w:rsidRPr="00C73A8F" w:rsidRDefault="00C73A8F" w:rsidP="00C73A8F">
            <w:pPr>
              <w:jc w:val="center"/>
              <w:rPr>
                <w:b/>
                <w:bCs/>
              </w:rPr>
            </w:pPr>
            <w:r>
              <w:rPr>
                <w:b/>
              </w:rPr>
              <w:t>Stand zum 31.12.2022</w:t>
            </w:r>
          </w:p>
        </w:tc>
      </w:tr>
      <w:tr w:rsidR="00C73A8F" w:rsidRPr="00C73A8F" w14:paraId="37D5C0C0" w14:textId="77777777" w:rsidTr="00C468CA">
        <w:trPr>
          <w:trHeight w:val="295"/>
        </w:trPr>
        <w:tc>
          <w:tcPr>
            <w:tcW w:w="737" w:type="dxa"/>
            <w:tcBorders>
              <w:top w:val="single" w:sz="18" w:space="0" w:color="57CFFD"/>
            </w:tcBorders>
          </w:tcPr>
          <w:p w14:paraId="3050DD11" w14:textId="77777777" w:rsidR="00C73A8F" w:rsidRPr="0010458D" w:rsidRDefault="00C73A8F" w:rsidP="007B44BA">
            <w:pPr>
              <w:rPr>
                <w:b/>
                <w:bCs/>
              </w:rPr>
            </w:pPr>
            <w:r>
              <w:rPr>
                <w:b/>
              </w:rPr>
              <w:t>11.</w:t>
            </w:r>
          </w:p>
        </w:tc>
        <w:tc>
          <w:tcPr>
            <w:tcW w:w="4649" w:type="dxa"/>
            <w:tcBorders>
              <w:top w:val="single" w:sz="18" w:space="0" w:color="57CFFD"/>
            </w:tcBorders>
          </w:tcPr>
          <w:p w14:paraId="293DAE91" w14:textId="77777777" w:rsidR="00C73A8F" w:rsidRPr="0010458D" w:rsidRDefault="00C73A8F" w:rsidP="007B44BA">
            <w:pPr>
              <w:rPr>
                <w:b/>
                <w:bCs/>
              </w:rPr>
            </w:pPr>
            <w:r>
              <w:rPr>
                <w:b/>
              </w:rPr>
              <w:t>Sonstige Aktiva</w:t>
            </w:r>
          </w:p>
        </w:tc>
        <w:tc>
          <w:tcPr>
            <w:tcW w:w="1843" w:type="dxa"/>
            <w:tcBorders>
              <w:top w:val="single" w:sz="18" w:space="0" w:color="57CFFD"/>
            </w:tcBorders>
          </w:tcPr>
          <w:p w14:paraId="3E5EBEE7" w14:textId="77777777" w:rsidR="00C73A8F" w:rsidRPr="0010458D" w:rsidRDefault="00C73A8F" w:rsidP="0010458D">
            <w:pPr>
              <w:jc w:val="center"/>
            </w:pPr>
            <w:r>
              <w:t>6.1</w:t>
            </w:r>
          </w:p>
        </w:tc>
        <w:tc>
          <w:tcPr>
            <w:tcW w:w="1276" w:type="dxa"/>
            <w:tcBorders>
              <w:top w:val="single" w:sz="18" w:space="0" w:color="57CFFD"/>
            </w:tcBorders>
          </w:tcPr>
          <w:p w14:paraId="53CE6FAB" w14:textId="77777777" w:rsidR="00C73A8F" w:rsidRPr="0010458D" w:rsidRDefault="00C73A8F" w:rsidP="0010458D">
            <w:pPr>
              <w:jc w:val="right"/>
              <w:rPr>
                <w:b/>
                <w:bCs/>
              </w:rPr>
            </w:pPr>
            <w:r>
              <w:rPr>
                <w:b/>
              </w:rPr>
              <w:t>0</w:t>
            </w:r>
          </w:p>
        </w:tc>
        <w:tc>
          <w:tcPr>
            <w:tcW w:w="1247" w:type="dxa"/>
            <w:tcBorders>
              <w:top w:val="single" w:sz="18" w:space="0" w:color="57CFFD"/>
            </w:tcBorders>
          </w:tcPr>
          <w:p w14:paraId="319EE576" w14:textId="77777777" w:rsidR="00C73A8F" w:rsidRPr="0010458D" w:rsidRDefault="00C73A8F" w:rsidP="0010458D">
            <w:pPr>
              <w:jc w:val="right"/>
              <w:rPr>
                <w:b/>
                <w:bCs/>
              </w:rPr>
            </w:pPr>
            <w:r>
              <w:rPr>
                <w:b/>
              </w:rPr>
              <w:t>0</w:t>
            </w:r>
          </w:p>
        </w:tc>
      </w:tr>
      <w:tr w:rsidR="00C73A8F" w:rsidRPr="00C73A8F" w14:paraId="2F3CC971" w14:textId="77777777" w:rsidTr="00BC0EFE">
        <w:trPr>
          <w:trHeight w:val="295"/>
        </w:trPr>
        <w:tc>
          <w:tcPr>
            <w:tcW w:w="737" w:type="dxa"/>
          </w:tcPr>
          <w:p w14:paraId="1E505A46" w14:textId="77777777" w:rsidR="00C73A8F" w:rsidRPr="0010458D" w:rsidRDefault="00C73A8F" w:rsidP="007B44BA">
            <w:pPr>
              <w:rPr>
                <w:b/>
                <w:bCs/>
              </w:rPr>
            </w:pPr>
          </w:p>
        </w:tc>
        <w:tc>
          <w:tcPr>
            <w:tcW w:w="4649" w:type="dxa"/>
          </w:tcPr>
          <w:p w14:paraId="0BA3DEB7" w14:textId="77777777" w:rsidR="00C73A8F" w:rsidRPr="0010458D" w:rsidRDefault="00C73A8F" w:rsidP="007B44BA">
            <w:pPr>
              <w:rPr>
                <w:b/>
                <w:bCs/>
                <w:i/>
                <w:iCs/>
              </w:rPr>
            </w:pPr>
            <w:r>
              <w:rPr>
                <w:b/>
                <w:i/>
              </w:rPr>
              <w:t>Aktiva Summe</w:t>
            </w:r>
          </w:p>
        </w:tc>
        <w:tc>
          <w:tcPr>
            <w:tcW w:w="1843" w:type="dxa"/>
          </w:tcPr>
          <w:p w14:paraId="28A3B732" w14:textId="60AD5E4D" w:rsidR="00C73A8F" w:rsidRPr="0010458D" w:rsidRDefault="00C73A8F" w:rsidP="0010458D">
            <w:pPr>
              <w:jc w:val="center"/>
            </w:pPr>
          </w:p>
        </w:tc>
        <w:tc>
          <w:tcPr>
            <w:tcW w:w="1276" w:type="dxa"/>
          </w:tcPr>
          <w:p w14:paraId="2BB7D328" w14:textId="77777777" w:rsidR="00C73A8F" w:rsidRPr="0010458D" w:rsidRDefault="00C73A8F" w:rsidP="0010458D">
            <w:pPr>
              <w:jc w:val="right"/>
              <w:rPr>
                <w:b/>
                <w:bCs/>
                <w:i/>
                <w:iCs/>
              </w:rPr>
            </w:pPr>
            <w:r>
              <w:rPr>
                <w:b/>
                <w:i/>
              </w:rPr>
              <w:t>0</w:t>
            </w:r>
          </w:p>
        </w:tc>
        <w:tc>
          <w:tcPr>
            <w:tcW w:w="1247" w:type="dxa"/>
          </w:tcPr>
          <w:p w14:paraId="462C5EC7" w14:textId="7607AD06" w:rsidR="00C73A8F" w:rsidRPr="0010458D" w:rsidRDefault="0010458D" w:rsidP="0010458D">
            <w:pPr>
              <w:jc w:val="right"/>
              <w:rPr>
                <w:b/>
                <w:bCs/>
                <w:i/>
                <w:iCs/>
              </w:rPr>
            </w:pPr>
            <w:r>
              <w:rPr>
                <w:b/>
                <w:i/>
              </w:rPr>
              <w:t>0</w:t>
            </w:r>
          </w:p>
        </w:tc>
      </w:tr>
    </w:tbl>
    <w:p w14:paraId="6CC9FADC" w14:textId="77777777" w:rsidR="0010458D" w:rsidRDefault="0010458D" w:rsidP="00BC0EFE">
      <w:pPr>
        <w:spacing w:after="40"/>
      </w:pPr>
    </w:p>
    <w:tbl>
      <w:tblPr>
        <w:tblStyle w:val="Mkatabulky"/>
        <w:tblW w:w="9752"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737"/>
        <w:gridCol w:w="4649"/>
        <w:gridCol w:w="1843"/>
        <w:gridCol w:w="1276"/>
        <w:gridCol w:w="1247"/>
      </w:tblGrid>
      <w:tr w:rsidR="00C73A8F" w:rsidRPr="00C73A8F" w14:paraId="377F4281" w14:textId="77777777" w:rsidTr="00BC0EFE">
        <w:trPr>
          <w:trHeight w:val="454"/>
        </w:trPr>
        <w:tc>
          <w:tcPr>
            <w:tcW w:w="737" w:type="dxa"/>
          </w:tcPr>
          <w:p w14:paraId="7EAB8D1D" w14:textId="77777777" w:rsidR="00C73A8F" w:rsidRPr="0010458D" w:rsidRDefault="00C73A8F" w:rsidP="007B44BA">
            <w:pPr>
              <w:rPr>
                <w:b/>
                <w:bCs/>
              </w:rPr>
            </w:pPr>
          </w:p>
        </w:tc>
        <w:tc>
          <w:tcPr>
            <w:tcW w:w="4649" w:type="dxa"/>
          </w:tcPr>
          <w:p w14:paraId="16517B43" w14:textId="77777777" w:rsidR="00C73A8F" w:rsidRPr="0010458D" w:rsidRDefault="00C73A8F" w:rsidP="007B44BA">
            <w:pPr>
              <w:rPr>
                <w:b/>
                <w:bCs/>
              </w:rPr>
            </w:pPr>
            <w:r>
              <w:rPr>
                <w:b/>
              </w:rPr>
              <w:t>Passiva</w:t>
            </w:r>
          </w:p>
        </w:tc>
        <w:tc>
          <w:tcPr>
            <w:tcW w:w="1843" w:type="dxa"/>
          </w:tcPr>
          <w:p w14:paraId="4EF27834" w14:textId="77777777" w:rsidR="00C73A8F" w:rsidRPr="0010458D" w:rsidRDefault="00C73A8F" w:rsidP="0010458D">
            <w:pPr>
              <w:jc w:val="center"/>
              <w:rPr>
                <w:b/>
                <w:bCs/>
              </w:rPr>
            </w:pPr>
            <w:r>
              <w:rPr>
                <w:b/>
              </w:rPr>
              <w:t>Anmerkung</w:t>
            </w:r>
          </w:p>
        </w:tc>
        <w:tc>
          <w:tcPr>
            <w:tcW w:w="1276" w:type="dxa"/>
          </w:tcPr>
          <w:p w14:paraId="46FA4BF1" w14:textId="77777777" w:rsidR="00C73A8F" w:rsidRPr="0010458D" w:rsidRDefault="00C73A8F" w:rsidP="0010458D">
            <w:pPr>
              <w:jc w:val="center"/>
              <w:rPr>
                <w:b/>
                <w:bCs/>
              </w:rPr>
            </w:pPr>
            <w:r>
              <w:rPr>
                <w:b/>
              </w:rPr>
              <w:t>Stand zum 31.12.2023</w:t>
            </w:r>
          </w:p>
        </w:tc>
        <w:tc>
          <w:tcPr>
            <w:tcW w:w="1247" w:type="dxa"/>
          </w:tcPr>
          <w:p w14:paraId="0B40295B" w14:textId="77777777" w:rsidR="00C73A8F" w:rsidRPr="0010458D" w:rsidRDefault="00C73A8F" w:rsidP="0010458D">
            <w:pPr>
              <w:jc w:val="center"/>
              <w:rPr>
                <w:b/>
                <w:bCs/>
              </w:rPr>
            </w:pPr>
            <w:r>
              <w:rPr>
                <w:b/>
              </w:rPr>
              <w:t>Stand zum 31.12.2022</w:t>
            </w:r>
          </w:p>
        </w:tc>
      </w:tr>
      <w:tr w:rsidR="00C73A8F" w:rsidRPr="00C73A8F" w14:paraId="369C77E2" w14:textId="77777777" w:rsidTr="00BC0EFE">
        <w:trPr>
          <w:trHeight w:val="340"/>
        </w:trPr>
        <w:tc>
          <w:tcPr>
            <w:tcW w:w="737" w:type="dxa"/>
          </w:tcPr>
          <w:p w14:paraId="28271C6A" w14:textId="77777777" w:rsidR="00C73A8F" w:rsidRPr="0010458D" w:rsidRDefault="00C73A8F" w:rsidP="007B44BA">
            <w:pPr>
              <w:rPr>
                <w:b/>
                <w:bCs/>
              </w:rPr>
            </w:pPr>
            <w:r>
              <w:rPr>
                <w:b/>
              </w:rPr>
              <w:t>12.</w:t>
            </w:r>
          </w:p>
        </w:tc>
        <w:tc>
          <w:tcPr>
            <w:tcW w:w="4649" w:type="dxa"/>
          </w:tcPr>
          <w:p w14:paraId="7F79E845" w14:textId="77777777" w:rsidR="00C73A8F" w:rsidRPr="0010458D" w:rsidRDefault="00C73A8F" w:rsidP="007B44BA">
            <w:pPr>
              <w:rPr>
                <w:b/>
                <w:bCs/>
              </w:rPr>
            </w:pPr>
            <w:r>
              <w:rPr>
                <w:b/>
              </w:rPr>
              <w:t>Kapitalfonds</w:t>
            </w:r>
          </w:p>
        </w:tc>
        <w:tc>
          <w:tcPr>
            <w:tcW w:w="1843" w:type="dxa"/>
          </w:tcPr>
          <w:p w14:paraId="02D09023" w14:textId="77777777" w:rsidR="00C73A8F" w:rsidRPr="0010458D" w:rsidRDefault="00C73A8F" w:rsidP="0010458D">
            <w:pPr>
              <w:jc w:val="center"/>
            </w:pPr>
            <w:r>
              <w:t>6.3</w:t>
            </w:r>
          </w:p>
        </w:tc>
        <w:tc>
          <w:tcPr>
            <w:tcW w:w="1276" w:type="dxa"/>
          </w:tcPr>
          <w:p w14:paraId="163645F1" w14:textId="77777777" w:rsidR="00C73A8F" w:rsidRPr="0010458D" w:rsidRDefault="00C73A8F" w:rsidP="0010458D">
            <w:pPr>
              <w:jc w:val="right"/>
              <w:rPr>
                <w:b/>
                <w:bCs/>
              </w:rPr>
            </w:pPr>
            <w:r>
              <w:rPr>
                <w:b/>
              </w:rPr>
              <w:t>0</w:t>
            </w:r>
          </w:p>
        </w:tc>
        <w:tc>
          <w:tcPr>
            <w:tcW w:w="1247" w:type="dxa"/>
          </w:tcPr>
          <w:p w14:paraId="3B25DD02" w14:textId="77777777" w:rsidR="00C73A8F" w:rsidRPr="0010458D" w:rsidRDefault="00C73A8F" w:rsidP="0010458D">
            <w:pPr>
              <w:jc w:val="right"/>
              <w:rPr>
                <w:b/>
                <w:bCs/>
              </w:rPr>
            </w:pPr>
            <w:r>
              <w:rPr>
                <w:b/>
              </w:rPr>
              <w:t>0</w:t>
            </w:r>
          </w:p>
        </w:tc>
      </w:tr>
      <w:tr w:rsidR="00C73A8F" w:rsidRPr="00C73A8F" w14:paraId="7C140E8C" w14:textId="77777777" w:rsidTr="00A73148">
        <w:trPr>
          <w:trHeight w:val="340"/>
        </w:trPr>
        <w:tc>
          <w:tcPr>
            <w:tcW w:w="737" w:type="dxa"/>
          </w:tcPr>
          <w:p w14:paraId="2BAFF0FE" w14:textId="77777777" w:rsidR="00C73A8F" w:rsidRPr="0010458D" w:rsidRDefault="00C73A8F" w:rsidP="007B44BA">
            <w:pPr>
              <w:rPr>
                <w:b/>
                <w:bCs/>
              </w:rPr>
            </w:pPr>
            <w:r>
              <w:rPr>
                <w:b/>
              </w:rPr>
              <w:t>14.</w:t>
            </w:r>
          </w:p>
        </w:tc>
        <w:tc>
          <w:tcPr>
            <w:tcW w:w="4649" w:type="dxa"/>
          </w:tcPr>
          <w:p w14:paraId="17BD1C96" w14:textId="77777777" w:rsidR="00C73A8F" w:rsidRPr="0010458D" w:rsidRDefault="00C73A8F" w:rsidP="007B44BA">
            <w:pPr>
              <w:rPr>
                <w:b/>
                <w:bCs/>
              </w:rPr>
            </w:pPr>
            <w:r>
              <w:rPr>
                <w:b/>
              </w:rPr>
              <w:t>Gewinn- oder Verlustvortrag</w:t>
            </w:r>
          </w:p>
        </w:tc>
        <w:tc>
          <w:tcPr>
            <w:tcW w:w="1843" w:type="dxa"/>
          </w:tcPr>
          <w:p w14:paraId="4CFE77F0" w14:textId="77777777" w:rsidR="00C73A8F" w:rsidRPr="0010458D" w:rsidRDefault="00C73A8F" w:rsidP="0010458D">
            <w:pPr>
              <w:jc w:val="center"/>
            </w:pPr>
            <w:r>
              <w:t>6.4</w:t>
            </w:r>
          </w:p>
        </w:tc>
        <w:tc>
          <w:tcPr>
            <w:tcW w:w="1276" w:type="dxa"/>
          </w:tcPr>
          <w:p w14:paraId="594C1D09" w14:textId="77777777" w:rsidR="00C73A8F" w:rsidRPr="0010458D" w:rsidRDefault="00C73A8F" w:rsidP="0010458D">
            <w:pPr>
              <w:jc w:val="right"/>
              <w:rPr>
                <w:b/>
                <w:bCs/>
              </w:rPr>
            </w:pPr>
            <w:r>
              <w:rPr>
                <w:b/>
              </w:rPr>
              <w:t>0</w:t>
            </w:r>
          </w:p>
        </w:tc>
        <w:tc>
          <w:tcPr>
            <w:tcW w:w="1247" w:type="dxa"/>
          </w:tcPr>
          <w:p w14:paraId="5802BCDB" w14:textId="77777777" w:rsidR="00C73A8F" w:rsidRPr="0010458D" w:rsidRDefault="00C73A8F" w:rsidP="0010458D">
            <w:pPr>
              <w:jc w:val="right"/>
              <w:rPr>
                <w:b/>
                <w:bCs/>
              </w:rPr>
            </w:pPr>
            <w:r>
              <w:rPr>
                <w:b/>
              </w:rPr>
              <w:t>0</w:t>
            </w:r>
          </w:p>
        </w:tc>
      </w:tr>
      <w:tr w:rsidR="00C73A8F" w:rsidRPr="00C73A8F" w14:paraId="6973D84D" w14:textId="77777777" w:rsidTr="00BC0EFE">
        <w:trPr>
          <w:trHeight w:val="295"/>
        </w:trPr>
        <w:tc>
          <w:tcPr>
            <w:tcW w:w="737" w:type="dxa"/>
          </w:tcPr>
          <w:p w14:paraId="287F0DC4" w14:textId="77777777" w:rsidR="00C73A8F" w:rsidRPr="0010458D" w:rsidRDefault="00C73A8F" w:rsidP="007B44BA">
            <w:pPr>
              <w:rPr>
                <w:b/>
                <w:bCs/>
              </w:rPr>
            </w:pPr>
          </w:p>
        </w:tc>
        <w:tc>
          <w:tcPr>
            <w:tcW w:w="4649" w:type="dxa"/>
          </w:tcPr>
          <w:p w14:paraId="2D3FEA40" w14:textId="77777777" w:rsidR="00C73A8F" w:rsidRPr="0010458D" w:rsidRDefault="00C73A8F" w:rsidP="007B44BA">
            <w:pPr>
              <w:rPr>
                <w:b/>
                <w:bCs/>
                <w:i/>
                <w:iCs/>
              </w:rPr>
            </w:pPr>
            <w:r>
              <w:rPr>
                <w:b/>
                <w:i/>
              </w:rPr>
              <w:t>Eigenkapital insgesamt</w:t>
            </w:r>
          </w:p>
        </w:tc>
        <w:tc>
          <w:tcPr>
            <w:tcW w:w="1843" w:type="dxa"/>
          </w:tcPr>
          <w:p w14:paraId="080A6F1F" w14:textId="77777777" w:rsidR="00C73A8F" w:rsidRPr="0010458D" w:rsidRDefault="00C73A8F" w:rsidP="0010458D">
            <w:pPr>
              <w:jc w:val="center"/>
            </w:pPr>
          </w:p>
        </w:tc>
        <w:tc>
          <w:tcPr>
            <w:tcW w:w="1276" w:type="dxa"/>
          </w:tcPr>
          <w:p w14:paraId="1355B1E2" w14:textId="77777777" w:rsidR="00C73A8F" w:rsidRPr="0010458D" w:rsidRDefault="00C73A8F" w:rsidP="0010458D">
            <w:pPr>
              <w:jc w:val="right"/>
              <w:rPr>
                <w:b/>
                <w:bCs/>
                <w:i/>
                <w:iCs/>
              </w:rPr>
            </w:pPr>
            <w:r>
              <w:rPr>
                <w:b/>
                <w:i/>
              </w:rPr>
              <w:t>0</w:t>
            </w:r>
          </w:p>
        </w:tc>
        <w:tc>
          <w:tcPr>
            <w:tcW w:w="1247" w:type="dxa"/>
          </w:tcPr>
          <w:p w14:paraId="5995F8BA" w14:textId="77777777" w:rsidR="00C73A8F" w:rsidRPr="0010458D" w:rsidRDefault="00C73A8F" w:rsidP="0010458D">
            <w:pPr>
              <w:jc w:val="right"/>
              <w:rPr>
                <w:b/>
                <w:bCs/>
                <w:i/>
                <w:iCs/>
              </w:rPr>
            </w:pPr>
            <w:r>
              <w:rPr>
                <w:b/>
                <w:i/>
              </w:rPr>
              <w:t>0</w:t>
            </w:r>
          </w:p>
        </w:tc>
      </w:tr>
      <w:tr w:rsidR="0010458D" w:rsidRPr="00C73A8F" w14:paraId="4549D9DC" w14:textId="77777777" w:rsidTr="00BC0EFE">
        <w:trPr>
          <w:trHeight w:val="295"/>
        </w:trPr>
        <w:tc>
          <w:tcPr>
            <w:tcW w:w="737" w:type="dxa"/>
          </w:tcPr>
          <w:p w14:paraId="1C3DEEEC" w14:textId="77777777" w:rsidR="0010458D" w:rsidRPr="0010458D" w:rsidRDefault="0010458D" w:rsidP="0010458D">
            <w:pPr>
              <w:rPr>
                <w:b/>
                <w:bCs/>
              </w:rPr>
            </w:pPr>
          </w:p>
        </w:tc>
        <w:tc>
          <w:tcPr>
            <w:tcW w:w="4649" w:type="dxa"/>
          </w:tcPr>
          <w:p w14:paraId="0F038B42" w14:textId="77777777" w:rsidR="0010458D" w:rsidRPr="0010458D" w:rsidRDefault="0010458D" w:rsidP="0010458D">
            <w:pPr>
              <w:rPr>
                <w:b/>
                <w:bCs/>
                <w:i/>
                <w:iCs/>
              </w:rPr>
            </w:pPr>
            <w:r>
              <w:rPr>
                <w:b/>
                <w:i/>
              </w:rPr>
              <w:t>Passiva Summe</w:t>
            </w:r>
          </w:p>
        </w:tc>
        <w:tc>
          <w:tcPr>
            <w:tcW w:w="1843" w:type="dxa"/>
          </w:tcPr>
          <w:p w14:paraId="16022D4F" w14:textId="75C6AA55" w:rsidR="0010458D" w:rsidRPr="0010458D" w:rsidRDefault="0010458D" w:rsidP="0010458D">
            <w:pPr>
              <w:jc w:val="center"/>
            </w:pPr>
          </w:p>
        </w:tc>
        <w:tc>
          <w:tcPr>
            <w:tcW w:w="1276" w:type="dxa"/>
          </w:tcPr>
          <w:p w14:paraId="6C90EA5E" w14:textId="77777777" w:rsidR="0010458D" w:rsidRPr="0010458D" w:rsidRDefault="0010458D" w:rsidP="0010458D">
            <w:pPr>
              <w:jc w:val="right"/>
              <w:rPr>
                <w:b/>
                <w:bCs/>
                <w:i/>
                <w:iCs/>
              </w:rPr>
            </w:pPr>
            <w:r>
              <w:rPr>
                <w:b/>
                <w:i/>
              </w:rPr>
              <w:t>0</w:t>
            </w:r>
          </w:p>
        </w:tc>
        <w:tc>
          <w:tcPr>
            <w:tcW w:w="1247" w:type="dxa"/>
          </w:tcPr>
          <w:p w14:paraId="0E7BFA9C" w14:textId="6C4D8C02" w:rsidR="0010458D" w:rsidRPr="0010458D" w:rsidRDefault="0010458D" w:rsidP="0010458D">
            <w:pPr>
              <w:jc w:val="right"/>
              <w:rPr>
                <w:b/>
                <w:bCs/>
                <w:i/>
                <w:iCs/>
              </w:rPr>
            </w:pPr>
            <w:r>
              <w:rPr>
                <w:b/>
                <w:i/>
              </w:rPr>
              <w:t>0</w:t>
            </w:r>
          </w:p>
        </w:tc>
      </w:tr>
    </w:tbl>
    <w:p w14:paraId="05A1844A" w14:textId="760119A4" w:rsidR="0010458D" w:rsidRDefault="0010458D" w:rsidP="0010458D"/>
    <w:p w14:paraId="23419E98" w14:textId="77777777" w:rsidR="0010458D" w:rsidRDefault="0010458D" w:rsidP="00BC0EFE">
      <w:pPr>
        <w:spacing w:after="160"/>
      </w:pPr>
    </w:p>
    <w:tbl>
      <w:tblPr>
        <w:tblStyle w:val="Mkatabulky"/>
        <w:tblW w:w="9751"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1029"/>
        <w:gridCol w:w="4389"/>
        <w:gridCol w:w="1815"/>
        <w:gridCol w:w="1273"/>
        <w:gridCol w:w="1245"/>
      </w:tblGrid>
      <w:tr w:rsidR="00BC0EFE" w:rsidRPr="00C73A8F" w14:paraId="1739BF7F" w14:textId="77777777" w:rsidTr="00C468CA">
        <w:trPr>
          <w:trHeight w:val="295"/>
        </w:trPr>
        <w:tc>
          <w:tcPr>
            <w:tcW w:w="850" w:type="dxa"/>
            <w:tcBorders>
              <w:bottom w:val="single" w:sz="18" w:space="0" w:color="57CFFD"/>
            </w:tcBorders>
          </w:tcPr>
          <w:p w14:paraId="69FB0135" w14:textId="77777777" w:rsidR="00C73A8F" w:rsidRPr="0010458D" w:rsidRDefault="00C73A8F" w:rsidP="007B44BA">
            <w:pPr>
              <w:rPr>
                <w:b/>
                <w:bCs/>
              </w:rPr>
            </w:pPr>
            <w:r>
              <w:rPr>
                <w:b/>
              </w:rPr>
              <w:t>Nummer</w:t>
            </w:r>
          </w:p>
        </w:tc>
        <w:tc>
          <w:tcPr>
            <w:tcW w:w="4535" w:type="dxa"/>
            <w:tcBorders>
              <w:bottom w:val="single" w:sz="18" w:space="0" w:color="57CFFD"/>
            </w:tcBorders>
          </w:tcPr>
          <w:p w14:paraId="5D6A3B6C" w14:textId="77777777" w:rsidR="00C73A8F" w:rsidRPr="0010458D" w:rsidRDefault="00C73A8F" w:rsidP="007B44BA">
            <w:pPr>
              <w:rPr>
                <w:b/>
                <w:bCs/>
              </w:rPr>
            </w:pPr>
            <w:r>
              <w:rPr>
                <w:b/>
              </w:rPr>
              <w:t>Außerbilanzielle Posten</w:t>
            </w:r>
          </w:p>
        </w:tc>
        <w:tc>
          <w:tcPr>
            <w:tcW w:w="1843" w:type="dxa"/>
            <w:tcBorders>
              <w:bottom w:val="single" w:sz="18" w:space="0" w:color="57CFFD"/>
            </w:tcBorders>
          </w:tcPr>
          <w:p w14:paraId="4F769106" w14:textId="77777777" w:rsidR="00C73A8F" w:rsidRPr="0010458D" w:rsidRDefault="00C73A8F" w:rsidP="0010458D">
            <w:pPr>
              <w:jc w:val="center"/>
              <w:rPr>
                <w:b/>
                <w:bCs/>
              </w:rPr>
            </w:pPr>
            <w:r>
              <w:rPr>
                <w:b/>
              </w:rPr>
              <w:t>Anmerkung</w:t>
            </w:r>
          </w:p>
        </w:tc>
        <w:tc>
          <w:tcPr>
            <w:tcW w:w="1276" w:type="dxa"/>
            <w:tcBorders>
              <w:bottom w:val="single" w:sz="18" w:space="0" w:color="57CFFD"/>
            </w:tcBorders>
          </w:tcPr>
          <w:p w14:paraId="12A67783" w14:textId="77777777" w:rsidR="00C73A8F" w:rsidRPr="0010458D" w:rsidRDefault="00C73A8F" w:rsidP="0010458D">
            <w:pPr>
              <w:rPr>
                <w:b/>
                <w:bCs/>
              </w:rPr>
            </w:pPr>
            <w:r>
              <w:rPr>
                <w:b/>
              </w:rPr>
              <w:t>Stand zum 31.12.2023</w:t>
            </w:r>
          </w:p>
        </w:tc>
        <w:tc>
          <w:tcPr>
            <w:tcW w:w="1247" w:type="dxa"/>
            <w:tcBorders>
              <w:bottom w:val="single" w:sz="18" w:space="0" w:color="57CFFD"/>
            </w:tcBorders>
          </w:tcPr>
          <w:p w14:paraId="17439863" w14:textId="77777777" w:rsidR="00C73A8F" w:rsidRPr="0010458D" w:rsidRDefault="00C73A8F" w:rsidP="0010458D">
            <w:pPr>
              <w:rPr>
                <w:b/>
                <w:bCs/>
              </w:rPr>
            </w:pPr>
            <w:r>
              <w:rPr>
                <w:b/>
              </w:rPr>
              <w:t>Stand zum 31.12.2022</w:t>
            </w:r>
          </w:p>
        </w:tc>
      </w:tr>
      <w:tr w:rsidR="00C73A8F" w:rsidRPr="00C73A8F" w14:paraId="693C3843" w14:textId="77777777" w:rsidTr="00A73148">
        <w:trPr>
          <w:trHeight w:val="510"/>
        </w:trPr>
        <w:tc>
          <w:tcPr>
            <w:tcW w:w="850" w:type="dxa"/>
            <w:tcBorders>
              <w:top w:val="single" w:sz="18" w:space="0" w:color="57CFFD"/>
            </w:tcBorders>
          </w:tcPr>
          <w:p w14:paraId="1D742116" w14:textId="77777777" w:rsidR="00C73A8F" w:rsidRPr="0010458D" w:rsidRDefault="00C73A8F" w:rsidP="007B44BA">
            <w:pPr>
              <w:rPr>
                <w:b/>
                <w:bCs/>
              </w:rPr>
            </w:pPr>
            <w:r>
              <w:rPr>
                <w:b/>
              </w:rPr>
              <w:t>8.</w:t>
            </w:r>
          </w:p>
        </w:tc>
        <w:tc>
          <w:tcPr>
            <w:tcW w:w="4535" w:type="dxa"/>
            <w:tcBorders>
              <w:top w:val="single" w:sz="18" w:space="0" w:color="57CFFD"/>
            </w:tcBorders>
          </w:tcPr>
          <w:p w14:paraId="0B261A71" w14:textId="77777777" w:rsidR="00C73A8F" w:rsidRPr="0010458D" w:rsidRDefault="00C73A8F" w:rsidP="007B44BA">
            <w:pPr>
              <w:rPr>
                <w:b/>
                <w:bCs/>
              </w:rPr>
            </w:pPr>
            <w:r>
              <w:rPr>
                <w:b/>
              </w:rPr>
              <w:t>Zur Verwaltung übergegebene Vermögenswerte</w:t>
            </w:r>
          </w:p>
        </w:tc>
        <w:tc>
          <w:tcPr>
            <w:tcW w:w="1843" w:type="dxa"/>
            <w:tcBorders>
              <w:top w:val="single" w:sz="18" w:space="0" w:color="57CFFD"/>
            </w:tcBorders>
          </w:tcPr>
          <w:p w14:paraId="4FD12589" w14:textId="77777777" w:rsidR="00C73A8F" w:rsidRPr="0010458D" w:rsidRDefault="00C73A8F" w:rsidP="0010458D">
            <w:pPr>
              <w:jc w:val="center"/>
            </w:pPr>
            <w:r>
              <w:t>6.5</w:t>
            </w:r>
          </w:p>
        </w:tc>
        <w:tc>
          <w:tcPr>
            <w:tcW w:w="1276" w:type="dxa"/>
            <w:tcBorders>
              <w:top w:val="single" w:sz="18" w:space="0" w:color="57CFFD"/>
            </w:tcBorders>
          </w:tcPr>
          <w:p w14:paraId="2599D35C" w14:textId="77777777" w:rsidR="00C73A8F" w:rsidRPr="0010458D" w:rsidRDefault="00C73A8F" w:rsidP="0010458D">
            <w:pPr>
              <w:jc w:val="right"/>
              <w:rPr>
                <w:b/>
                <w:bCs/>
              </w:rPr>
            </w:pPr>
            <w:r>
              <w:rPr>
                <w:b/>
              </w:rPr>
              <w:t>0</w:t>
            </w:r>
          </w:p>
        </w:tc>
        <w:tc>
          <w:tcPr>
            <w:tcW w:w="1247" w:type="dxa"/>
            <w:tcBorders>
              <w:top w:val="single" w:sz="18" w:space="0" w:color="57CFFD"/>
            </w:tcBorders>
          </w:tcPr>
          <w:p w14:paraId="194E3B0E" w14:textId="77777777" w:rsidR="00C73A8F" w:rsidRPr="0010458D" w:rsidRDefault="00C73A8F" w:rsidP="0010458D">
            <w:pPr>
              <w:jc w:val="right"/>
              <w:rPr>
                <w:b/>
                <w:bCs/>
              </w:rPr>
            </w:pPr>
            <w:r>
              <w:rPr>
                <w:b/>
              </w:rPr>
              <w:t>0</w:t>
            </w:r>
          </w:p>
        </w:tc>
      </w:tr>
    </w:tbl>
    <w:p w14:paraId="4E128CD8" w14:textId="1514C1C6" w:rsidR="00BC0EFE" w:rsidRDefault="00FD0CCE" w:rsidP="002800E3">
      <w:pPr>
        <w:rPr>
          <w:sz w:val="18"/>
          <w:szCs w:val="18"/>
        </w:rPr>
      </w:pPr>
      <w:r>
        <w:rPr>
          <w:noProof/>
        </w:rPr>
        <w:drawing>
          <wp:anchor distT="0" distB="0" distL="114300" distR="114300" simplePos="0" relativeHeight="251687936" behindDoc="1" locked="0" layoutInCell="1" allowOverlap="1" wp14:anchorId="58B3190D" wp14:editId="592D8848">
            <wp:simplePos x="0" y="0"/>
            <wp:positionH relativeFrom="margin">
              <wp:posOffset>4313208</wp:posOffset>
            </wp:positionH>
            <wp:positionV relativeFrom="page">
              <wp:posOffset>9253915</wp:posOffset>
            </wp:positionV>
            <wp:extent cx="917575" cy="923290"/>
            <wp:effectExtent l="0" t="0" r="0" b="0"/>
            <wp:wrapNone/>
            <wp:docPr id="40"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br w:type="page"/>
      </w:r>
    </w:p>
    <w:p w14:paraId="38B214FC" w14:textId="733F89BA" w:rsidR="002800E3" w:rsidRPr="00C73A8F" w:rsidRDefault="002800E3" w:rsidP="00C468CA">
      <w:pPr>
        <w:pStyle w:val="Nadpis1"/>
        <w:spacing w:after="800"/>
      </w:pPr>
      <w:bookmarkStart w:id="2" w:name="_Toc167784867"/>
      <w:r>
        <w:lastRenderedPageBreak/>
        <w:t>GEWINN- UND VERLUSTRECHNUNG FÜR DEN ZEITRAUM BIS ZUM 31.12.2023</w:t>
      </w:r>
      <w:bookmarkEnd w:id="2"/>
    </w:p>
    <w:p w14:paraId="22DBCB36" w14:textId="1707AE0E" w:rsidR="002800E3" w:rsidRPr="00C468CA" w:rsidRDefault="002800E3" w:rsidP="002800E3">
      <w:pPr>
        <w:rPr>
          <w:sz w:val="22"/>
          <w:szCs w:val="22"/>
        </w:rPr>
      </w:pPr>
      <w:r>
        <w:rPr>
          <w:sz w:val="22"/>
        </w:rPr>
        <w:t>Weder in der laufenden noch in der vorangegangenen Vergleichsperiode wurden Erträge oder Aufwendungen ausgewiesen.</w:t>
      </w:r>
    </w:p>
    <w:p w14:paraId="500CDDC8" w14:textId="27BA3845" w:rsidR="00C468CA" w:rsidRDefault="00FD0CCE" w:rsidP="002800E3">
      <w:pPr>
        <w:rPr>
          <w:sz w:val="22"/>
          <w:szCs w:val="22"/>
        </w:rPr>
      </w:pPr>
      <w:r>
        <w:rPr>
          <w:noProof/>
        </w:rPr>
        <w:drawing>
          <wp:anchor distT="0" distB="0" distL="114300" distR="114300" simplePos="0" relativeHeight="251689984" behindDoc="1" locked="0" layoutInCell="1" allowOverlap="1" wp14:anchorId="22FEC379" wp14:editId="24A32C83">
            <wp:simplePos x="0" y="0"/>
            <wp:positionH relativeFrom="margin">
              <wp:posOffset>4468087</wp:posOffset>
            </wp:positionH>
            <wp:positionV relativeFrom="page">
              <wp:posOffset>9368491</wp:posOffset>
            </wp:positionV>
            <wp:extent cx="917575" cy="923290"/>
            <wp:effectExtent l="0" t="0" r="0" b="0"/>
            <wp:wrapNone/>
            <wp:docPr id="41"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br w:type="page"/>
      </w:r>
    </w:p>
    <w:p w14:paraId="650F8AEA" w14:textId="0CEDF792" w:rsidR="002800E3" w:rsidRPr="00C468CA" w:rsidRDefault="002800E3" w:rsidP="009411DC">
      <w:pPr>
        <w:pStyle w:val="Nadpis1"/>
        <w:spacing w:after="400"/>
      </w:pPr>
      <w:bookmarkStart w:id="3" w:name="_Toc167784868"/>
      <w:r>
        <w:lastRenderedPageBreak/>
        <w:t>EIGENKAPITALVERÄNDERUNGSRECHNUNG FÜR DEN ZEITRAUM BIS ZUM 31.12.2023</w:t>
      </w:r>
      <w:bookmarkEnd w:id="3"/>
    </w:p>
    <w:p w14:paraId="20512AF8" w14:textId="20F10467" w:rsidR="002800E3" w:rsidRDefault="002800E3" w:rsidP="002800E3">
      <w:pPr>
        <w:rPr>
          <w:sz w:val="18"/>
          <w:szCs w:val="18"/>
        </w:rPr>
      </w:pPr>
      <w:r>
        <w:rPr>
          <w:sz w:val="18"/>
        </w:rPr>
        <w:t>In Tsd. CZK</w:t>
      </w:r>
    </w:p>
    <w:p w14:paraId="59429B77" w14:textId="77777777" w:rsidR="009411DC" w:rsidRPr="009411DC" w:rsidRDefault="009411DC" w:rsidP="002800E3">
      <w:pPr>
        <w:rPr>
          <w:sz w:val="18"/>
          <w:szCs w:val="18"/>
        </w:rPr>
      </w:pPr>
    </w:p>
    <w:tbl>
      <w:tblPr>
        <w:tblStyle w:val="Mkatabulky"/>
        <w:tblW w:w="9752"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4706"/>
        <w:gridCol w:w="1871"/>
        <w:gridCol w:w="2041"/>
        <w:gridCol w:w="1134"/>
      </w:tblGrid>
      <w:tr w:rsidR="009411DC" w:rsidRPr="009411DC" w14:paraId="009BE28B" w14:textId="77777777" w:rsidTr="009411DC">
        <w:trPr>
          <w:trHeight w:val="624"/>
        </w:trPr>
        <w:tc>
          <w:tcPr>
            <w:tcW w:w="4706" w:type="dxa"/>
          </w:tcPr>
          <w:p w14:paraId="3862983C" w14:textId="77777777" w:rsidR="009411DC" w:rsidRPr="009411DC" w:rsidRDefault="009411DC" w:rsidP="004A25E0">
            <w:pPr>
              <w:rPr>
                <w:b/>
                <w:bCs/>
              </w:rPr>
            </w:pPr>
          </w:p>
        </w:tc>
        <w:tc>
          <w:tcPr>
            <w:tcW w:w="1871" w:type="dxa"/>
          </w:tcPr>
          <w:p w14:paraId="3976FE2E" w14:textId="77777777" w:rsidR="009411DC" w:rsidRPr="009411DC" w:rsidRDefault="009411DC" w:rsidP="009411DC">
            <w:pPr>
              <w:jc w:val="center"/>
              <w:rPr>
                <w:b/>
                <w:bCs/>
              </w:rPr>
            </w:pPr>
            <w:r>
              <w:rPr>
                <w:b/>
              </w:rPr>
              <w:t>Kapitalfonds</w:t>
            </w:r>
          </w:p>
        </w:tc>
        <w:tc>
          <w:tcPr>
            <w:tcW w:w="2041" w:type="dxa"/>
          </w:tcPr>
          <w:p w14:paraId="2501F006" w14:textId="77777777" w:rsidR="009411DC" w:rsidRPr="009411DC" w:rsidRDefault="009411DC" w:rsidP="009411DC">
            <w:pPr>
              <w:jc w:val="center"/>
              <w:rPr>
                <w:b/>
                <w:bCs/>
              </w:rPr>
            </w:pPr>
            <w:r>
              <w:rPr>
                <w:b/>
              </w:rPr>
              <w:t>Gewinnvortrag (Verlust)</w:t>
            </w:r>
          </w:p>
        </w:tc>
        <w:tc>
          <w:tcPr>
            <w:tcW w:w="1134" w:type="dxa"/>
          </w:tcPr>
          <w:p w14:paraId="5661CA54" w14:textId="77777777" w:rsidR="009411DC" w:rsidRPr="009411DC" w:rsidRDefault="009411DC" w:rsidP="009411DC">
            <w:pPr>
              <w:jc w:val="center"/>
              <w:rPr>
                <w:b/>
                <w:bCs/>
              </w:rPr>
            </w:pPr>
            <w:r>
              <w:rPr>
                <w:b/>
              </w:rPr>
              <w:t>Gesamt</w:t>
            </w:r>
          </w:p>
        </w:tc>
      </w:tr>
      <w:tr w:rsidR="009411DC" w:rsidRPr="009411DC" w14:paraId="4BDD1819" w14:textId="77777777" w:rsidTr="009411DC">
        <w:trPr>
          <w:trHeight w:val="295"/>
        </w:trPr>
        <w:tc>
          <w:tcPr>
            <w:tcW w:w="4706" w:type="dxa"/>
          </w:tcPr>
          <w:p w14:paraId="774EA2CB" w14:textId="77777777" w:rsidR="009411DC" w:rsidRPr="009411DC" w:rsidRDefault="009411DC" w:rsidP="009411DC">
            <w:pPr>
              <w:rPr>
                <w:b/>
                <w:bCs/>
              </w:rPr>
            </w:pPr>
            <w:r>
              <w:rPr>
                <w:b/>
              </w:rPr>
              <w:t>Saldo zum 31.12.2022</w:t>
            </w:r>
          </w:p>
        </w:tc>
        <w:tc>
          <w:tcPr>
            <w:tcW w:w="1871" w:type="dxa"/>
          </w:tcPr>
          <w:p w14:paraId="1EC83DB6" w14:textId="77777777" w:rsidR="009411DC" w:rsidRPr="009411DC" w:rsidRDefault="009411DC" w:rsidP="009411DC">
            <w:pPr>
              <w:jc w:val="right"/>
              <w:rPr>
                <w:b/>
                <w:bCs/>
              </w:rPr>
            </w:pPr>
            <w:r>
              <w:rPr>
                <w:b/>
              </w:rPr>
              <w:t>0</w:t>
            </w:r>
          </w:p>
        </w:tc>
        <w:tc>
          <w:tcPr>
            <w:tcW w:w="2041" w:type="dxa"/>
          </w:tcPr>
          <w:p w14:paraId="02F426CB" w14:textId="77777777" w:rsidR="009411DC" w:rsidRPr="009411DC" w:rsidRDefault="009411DC" w:rsidP="009411DC">
            <w:pPr>
              <w:jc w:val="right"/>
              <w:rPr>
                <w:b/>
                <w:bCs/>
              </w:rPr>
            </w:pPr>
            <w:r>
              <w:rPr>
                <w:b/>
              </w:rPr>
              <w:t>0</w:t>
            </w:r>
          </w:p>
        </w:tc>
        <w:tc>
          <w:tcPr>
            <w:tcW w:w="1134" w:type="dxa"/>
          </w:tcPr>
          <w:p w14:paraId="6B80EBA5" w14:textId="77777777" w:rsidR="009411DC" w:rsidRPr="009411DC" w:rsidRDefault="009411DC" w:rsidP="009411DC">
            <w:pPr>
              <w:jc w:val="right"/>
              <w:rPr>
                <w:b/>
                <w:bCs/>
              </w:rPr>
            </w:pPr>
            <w:r>
              <w:rPr>
                <w:b/>
              </w:rPr>
              <w:t>0</w:t>
            </w:r>
          </w:p>
        </w:tc>
      </w:tr>
      <w:tr w:rsidR="009411DC" w:rsidRPr="009411DC" w14:paraId="4D80D9A2" w14:textId="77777777" w:rsidTr="009411DC">
        <w:trPr>
          <w:trHeight w:val="295"/>
        </w:trPr>
        <w:tc>
          <w:tcPr>
            <w:tcW w:w="4706" w:type="dxa"/>
          </w:tcPr>
          <w:p w14:paraId="7BF24AEC" w14:textId="77777777" w:rsidR="009411DC" w:rsidRPr="009411DC" w:rsidRDefault="009411DC" w:rsidP="009411DC">
            <w:pPr>
              <w:rPr>
                <w:b/>
                <w:bCs/>
              </w:rPr>
            </w:pPr>
            <w:r>
              <w:rPr>
                <w:b/>
              </w:rPr>
              <w:t>Kapitalisierung der Verbindlichkeit</w:t>
            </w:r>
          </w:p>
        </w:tc>
        <w:tc>
          <w:tcPr>
            <w:tcW w:w="1871" w:type="dxa"/>
          </w:tcPr>
          <w:p w14:paraId="193149C1" w14:textId="77777777" w:rsidR="009411DC" w:rsidRPr="009411DC" w:rsidRDefault="009411DC" w:rsidP="009411DC">
            <w:pPr>
              <w:jc w:val="right"/>
            </w:pPr>
            <w:r>
              <w:t>0</w:t>
            </w:r>
          </w:p>
        </w:tc>
        <w:tc>
          <w:tcPr>
            <w:tcW w:w="2041" w:type="dxa"/>
          </w:tcPr>
          <w:p w14:paraId="12E73B12" w14:textId="77777777" w:rsidR="009411DC" w:rsidRPr="009411DC" w:rsidRDefault="009411DC" w:rsidP="009411DC">
            <w:pPr>
              <w:jc w:val="right"/>
            </w:pPr>
            <w:r>
              <w:t>0</w:t>
            </w:r>
          </w:p>
        </w:tc>
        <w:tc>
          <w:tcPr>
            <w:tcW w:w="1134" w:type="dxa"/>
          </w:tcPr>
          <w:p w14:paraId="4BD1DFBB" w14:textId="77777777" w:rsidR="009411DC" w:rsidRPr="009411DC" w:rsidRDefault="009411DC" w:rsidP="009411DC">
            <w:pPr>
              <w:jc w:val="right"/>
              <w:rPr>
                <w:b/>
                <w:bCs/>
              </w:rPr>
            </w:pPr>
            <w:r>
              <w:rPr>
                <w:b/>
              </w:rPr>
              <w:t>0</w:t>
            </w:r>
          </w:p>
        </w:tc>
      </w:tr>
      <w:tr w:rsidR="009411DC" w:rsidRPr="009411DC" w14:paraId="2C0F6BBA" w14:textId="77777777" w:rsidTr="00417FB6">
        <w:trPr>
          <w:trHeight w:val="510"/>
        </w:trPr>
        <w:tc>
          <w:tcPr>
            <w:tcW w:w="4706" w:type="dxa"/>
          </w:tcPr>
          <w:p w14:paraId="6329E761" w14:textId="77777777" w:rsidR="009411DC" w:rsidRPr="009411DC" w:rsidRDefault="009411DC" w:rsidP="009411DC">
            <w:pPr>
              <w:rPr>
                <w:b/>
                <w:bCs/>
              </w:rPr>
            </w:pPr>
            <w:r>
              <w:rPr>
                <w:b/>
              </w:rPr>
              <w:t>Zahlung von Verlusten aus Vorjahren aus den Kapitalfonds</w:t>
            </w:r>
          </w:p>
        </w:tc>
        <w:tc>
          <w:tcPr>
            <w:tcW w:w="1871" w:type="dxa"/>
          </w:tcPr>
          <w:p w14:paraId="599E51AC" w14:textId="77777777" w:rsidR="009411DC" w:rsidRPr="009411DC" w:rsidRDefault="009411DC" w:rsidP="009411DC">
            <w:pPr>
              <w:jc w:val="right"/>
            </w:pPr>
            <w:r>
              <w:t>0</w:t>
            </w:r>
          </w:p>
        </w:tc>
        <w:tc>
          <w:tcPr>
            <w:tcW w:w="2041" w:type="dxa"/>
          </w:tcPr>
          <w:p w14:paraId="29B020BB" w14:textId="77777777" w:rsidR="009411DC" w:rsidRPr="009411DC" w:rsidRDefault="009411DC" w:rsidP="009411DC">
            <w:pPr>
              <w:jc w:val="right"/>
            </w:pPr>
            <w:r>
              <w:t>0</w:t>
            </w:r>
          </w:p>
        </w:tc>
        <w:tc>
          <w:tcPr>
            <w:tcW w:w="1134" w:type="dxa"/>
          </w:tcPr>
          <w:p w14:paraId="64E47954" w14:textId="77777777" w:rsidR="009411DC" w:rsidRPr="009411DC" w:rsidRDefault="009411DC" w:rsidP="009411DC">
            <w:pPr>
              <w:jc w:val="right"/>
              <w:rPr>
                <w:b/>
                <w:bCs/>
              </w:rPr>
            </w:pPr>
            <w:r>
              <w:rPr>
                <w:b/>
              </w:rPr>
              <w:t>0</w:t>
            </w:r>
          </w:p>
        </w:tc>
      </w:tr>
      <w:tr w:rsidR="009411DC" w:rsidRPr="009411DC" w14:paraId="7ED9D54B" w14:textId="77777777" w:rsidTr="009411DC">
        <w:trPr>
          <w:trHeight w:val="295"/>
        </w:trPr>
        <w:tc>
          <w:tcPr>
            <w:tcW w:w="4706" w:type="dxa"/>
          </w:tcPr>
          <w:p w14:paraId="66A47ABC" w14:textId="77777777" w:rsidR="009411DC" w:rsidRPr="009411DC" w:rsidRDefault="009411DC" w:rsidP="009411DC">
            <w:pPr>
              <w:rPr>
                <w:b/>
                <w:bCs/>
              </w:rPr>
            </w:pPr>
            <w:r>
              <w:rPr>
                <w:b/>
              </w:rPr>
              <w:t>Saldo zum 31.12.2023</w:t>
            </w:r>
          </w:p>
        </w:tc>
        <w:tc>
          <w:tcPr>
            <w:tcW w:w="1871" w:type="dxa"/>
          </w:tcPr>
          <w:p w14:paraId="4F057907" w14:textId="77777777" w:rsidR="009411DC" w:rsidRPr="009411DC" w:rsidRDefault="009411DC" w:rsidP="009411DC">
            <w:pPr>
              <w:jc w:val="right"/>
              <w:rPr>
                <w:b/>
                <w:bCs/>
              </w:rPr>
            </w:pPr>
            <w:r>
              <w:rPr>
                <w:b/>
              </w:rPr>
              <w:t>0</w:t>
            </w:r>
          </w:p>
        </w:tc>
        <w:tc>
          <w:tcPr>
            <w:tcW w:w="2041" w:type="dxa"/>
          </w:tcPr>
          <w:p w14:paraId="2000EF9D" w14:textId="77777777" w:rsidR="009411DC" w:rsidRPr="009411DC" w:rsidRDefault="009411DC" w:rsidP="009411DC">
            <w:pPr>
              <w:jc w:val="right"/>
              <w:rPr>
                <w:b/>
                <w:bCs/>
              </w:rPr>
            </w:pPr>
            <w:r>
              <w:rPr>
                <w:b/>
              </w:rPr>
              <w:t>0</w:t>
            </w:r>
          </w:p>
        </w:tc>
        <w:tc>
          <w:tcPr>
            <w:tcW w:w="1134" w:type="dxa"/>
          </w:tcPr>
          <w:p w14:paraId="5EF52D5B" w14:textId="77777777" w:rsidR="009411DC" w:rsidRPr="009411DC" w:rsidRDefault="009411DC" w:rsidP="009411DC">
            <w:pPr>
              <w:jc w:val="right"/>
              <w:rPr>
                <w:b/>
                <w:bCs/>
              </w:rPr>
            </w:pPr>
            <w:r>
              <w:rPr>
                <w:b/>
              </w:rPr>
              <w:t>0</w:t>
            </w:r>
          </w:p>
        </w:tc>
      </w:tr>
    </w:tbl>
    <w:p w14:paraId="0D805788" w14:textId="309D7028" w:rsidR="002800E3" w:rsidRPr="00C468CA" w:rsidRDefault="002800E3" w:rsidP="002800E3">
      <w:pPr>
        <w:rPr>
          <w:sz w:val="22"/>
          <w:szCs w:val="22"/>
        </w:rPr>
      </w:pPr>
    </w:p>
    <w:p w14:paraId="0E4F36E5" w14:textId="2913069E" w:rsidR="009411DC" w:rsidRDefault="00FD0CCE" w:rsidP="002800E3">
      <w:pPr>
        <w:rPr>
          <w:sz w:val="22"/>
          <w:szCs w:val="22"/>
        </w:rPr>
      </w:pPr>
      <w:r>
        <w:rPr>
          <w:noProof/>
        </w:rPr>
        <w:drawing>
          <wp:anchor distT="0" distB="0" distL="114300" distR="114300" simplePos="0" relativeHeight="251692032" behindDoc="1" locked="0" layoutInCell="1" allowOverlap="1" wp14:anchorId="527E856A" wp14:editId="202792D8">
            <wp:simplePos x="0" y="0"/>
            <wp:positionH relativeFrom="margin">
              <wp:posOffset>4485197</wp:posOffset>
            </wp:positionH>
            <wp:positionV relativeFrom="page">
              <wp:posOffset>9509592</wp:posOffset>
            </wp:positionV>
            <wp:extent cx="917575" cy="923290"/>
            <wp:effectExtent l="0" t="0" r="0" b="0"/>
            <wp:wrapNone/>
            <wp:docPr id="44"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br w:type="page"/>
      </w:r>
    </w:p>
    <w:p w14:paraId="54126BC5" w14:textId="77777777" w:rsidR="009411DC" w:rsidRDefault="009411DC" w:rsidP="009411DC">
      <w:pPr>
        <w:jc w:val="center"/>
        <w:rPr>
          <w:sz w:val="22"/>
          <w:szCs w:val="22"/>
        </w:rPr>
      </w:pPr>
    </w:p>
    <w:p w14:paraId="38097FAC" w14:textId="77777777" w:rsidR="009411DC" w:rsidRDefault="009411DC" w:rsidP="009411DC">
      <w:pPr>
        <w:jc w:val="center"/>
        <w:rPr>
          <w:sz w:val="22"/>
          <w:szCs w:val="22"/>
        </w:rPr>
      </w:pPr>
    </w:p>
    <w:p w14:paraId="76DF9B68" w14:textId="77777777" w:rsidR="009411DC" w:rsidRDefault="009411DC" w:rsidP="009411DC">
      <w:pPr>
        <w:jc w:val="center"/>
        <w:rPr>
          <w:sz w:val="22"/>
          <w:szCs w:val="22"/>
        </w:rPr>
      </w:pPr>
    </w:p>
    <w:p w14:paraId="437BA03E" w14:textId="77777777" w:rsidR="009411DC" w:rsidRDefault="009411DC" w:rsidP="009411DC">
      <w:pPr>
        <w:jc w:val="center"/>
        <w:rPr>
          <w:sz w:val="22"/>
          <w:szCs w:val="22"/>
        </w:rPr>
      </w:pPr>
    </w:p>
    <w:p w14:paraId="5AAECC7A" w14:textId="77777777" w:rsidR="009411DC" w:rsidRDefault="009411DC" w:rsidP="009411DC">
      <w:pPr>
        <w:jc w:val="center"/>
        <w:rPr>
          <w:sz w:val="22"/>
          <w:szCs w:val="22"/>
        </w:rPr>
      </w:pPr>
    </w:p>
    <w:p w14:paraId="08E97554" w14:textId="77777777" w:rsidR="009411DC" w:rsidRDefault="009411DC" w:rsidP="009411DC">
      <w:pPr>
        <w:jc w:val="center"/>
        <w:rPr>
          <w:sz w:val="22"/>
          <w:szCs w:val="22"/>
        </w:rPr>
      </w:pPr>
    </w:p>
    <w:p w14:paraId="59C3C57F" w14:textId="77777777" w:rsidR="009411DC" w:rsidRDefault="009411DC" w:rsidP="009411DC">
      <w:pPr>
        <w:jc w:val="center"/>
        <w:rPr>
          <w:sz w:val="22"/>
          <w:szCs w:val="22"/>
        </w:rPr>
      </w:pPr>
    </w:p>
    <w:p w14:paraId="30F19FDF" w14:textId="77777777" w:rsidR="009411DC" w:rsidRDefault="009411DC" w:rsidP="009411DC">
      <w:pPr>
        <w:jc w:val="center"/>
        <w:rPr>
          <w:sz w:val="22"/>
          <w:szCs w:val="22"/>
        </w:rPr>
      </w:pPr>
    </w:p>
    <w:p w14:paraId="4769E7AE" w14:textId="77777777" w:rsidR="009411DC" w:rsidRDefault="009411DC" w:rsidP="009411DC">
      <w:pPr>
        <w:jc w:val="center"/>
        <w:rPr>
          <w:sz w:val="22"/>
          <w:szCs w:val="22"/>
        </w:rPr>
      </w:pPr>
    </w:p>
    <w:p w14:paraId="5C73A0FA" w14:textId="77777777" w:rsidR="009411DC" w:rsidRDefault="009411DC" w:rsidP="009411DC">
      <w:pPr>
        <w:jc w:val="center"/>
        <w:rPr>
          <w:sz w:val="22"/>
          <w:szCs w:val="22"/>
        </w:rPr>
      </w:pPr>
    </w:p>
    <w:p w14:paraId="497206D7" w14:textId="77777777" w:rsidR="009411DC" w:rsidRDefault="009411DC" w:rsidP="009411DC">
      <w:pPr>
        <w:jc w:val="center"/>
        <w:rPr>
          <w:sz w:val="22"/>
          <w:szCs w:val="22"/>
        </w:rPr>
      </w:pPr>
    </w:p>
    <w:p w14:paraId="7F07ED34" w14:textId="77777777" w:rsidR="009411DC" w:rsidRDefault="009411DC" w:rsidP="009411DC">
      <w:pPr>
        <w:jc w:val="center"/>
        <w:rPr>
          <w:sz w:val="22"/>
          <w:szCs w:val="22"/>
        </w:rPr>
      </w:pPr>
    </w:p>
    <w:p w14:paraId="6F461D3E" w14:textId="77777777" w:rsidR="009411DC" w:rsidRDefault="009411DC" w:rsidP="009411DC">
      <w:pPr>
        <w:jc w:val="center"/>
        <w:rPr>
          <w:sz w:val="22"/>
          <w:szCs w:val="22"/>
        </w:rPr>
      </w:pPr>
    </w:p>
    <w:p w14:paraId="043229A7" w14:textId="77777777" w:rsidR="009411DC" w:rsidRDefault="009411DC" w:rsidP="009411DC">
      <w:pPr>
        <w:jc w:val="center"/>
        <w:rPr>
          <w:sz w:val="22"/>
          <w:szCs w:val="22"/>
        </w:rPr>
      </w:pPr>
    </w:p>
    <w:p w14:paraId="798BFCD2" w14:textId="77777777" w:rsidR="009411DC" w:rsidRDefault="009411DC" w:rsidP="009411DC">
      <w:pPr>
        <w:jc w:val="center"/>
        <w:rPr>
          <w:sz w:val="22"/>
          <w:szCs w:val="22"/>
        </w:rPr>
      </w:pPr>
    </w:p>
    <w:p w14:paraId="5F1AB262" w14:textId="77777777" w:rsidR="009411DC" w:rsidRDefault="009411DC" w:rsidP="009411DC">
      <w:pPr>
        <w:jc w:val="center"/>
        <w:rPr>
          <w:sz w:val="22"/>
          <w:szCs w:val="22"/>
        </w:rPr>
      </w:pPr>
    </w:p>
    <w:p w14:paraId="3AF0DAEC" w14:textId="77777777" w:rsidR="009411DC" w:rsidRDefault="009411DC" w:rsidP="009411DC">
      <w:pPr>
        <w:jc w:val="center"/>
        <w:rPr>
          <w:sz w:val="22"/>
          <w:szCs w:val="22"/>
        </w:rPr>
      </w:pPr>
    </w:p>
    <w:p w14:paraId="5E2688E1" w14:textId="77777777" w:rsidR="009411DC" w:rsidRDefault="009411DC" w:rsidP="009411DC">
      <w:pPr>
        <w:jc w:val="center"/>
        <w:rPr>
          <w:sz w:val="22"/>
          <w:szCs w:val="22"/>
        </w:rPr>
      </w:pPr>
    </w:p>
    <w:p w14:paraId="3E5E705B" w14:textId="77777777" w:rsidR="009411DC" w:rsidRDefault="009411DC" w:rsidP="009411DC">
      <w:pPr>
        <w:jc w:val="center"/>
        <w:rPr>
          <w:sz w:val="22"/>
          <w:szCs w:val="22"/>
        </w:rPr>
      </w:pPr>
    </w:p>
    <w:p w14:paraId="23262411" w14:textId="77777777" w:rsidR="009411DC" w:rsidRDefault="009411DC" w:rsidP="009411DC">
      <w:pPr>
        <w:jc w:val="center"/>
        <w:rPr>
          <w:sz w:val="22"/>
          <w:szCs w:val="22"/>
        </w:rPr>
      </w:pPr>
    </w:p>
    <w:p w14:paraId="50AF9DEB" w14:textId="77777777" w:rsidR="009411DC" w:rsidRDefault="009411DC" w:rsidP="009411DC">
      <w:pPr>
        <w:jc w:val="center"/>
        <w:rPr>
          <w:sz w:val="22"/>
          <w:szCs w:val="22"/>
        </w:rPr>
      </w:pPr>
    </w:p>
    <w:p w14:paraId="40BFC818" w14:textId="77777777" w:rsidR="009411DC" w:rsidRDefault="009411DC" w:rsidP="009411DC">
      <w:pPr>
        <w:jc w:val="center"/>
        <w:rPr>
          <w:sz w:val="22"/>
          <w:szCs w:val="22"/>
        </w:rPr>
      </w:pPr>
    </w:p>
    <w:p w14:paraId="041BCA75" w14:textId="77777777" w:rsidR="009411DC" w:rsidRDefault="009411DC" w:rsidP="009411DC">
      <w:pPr>
        <w:jc w:val="center"/>
        <w:rPr>
          <w:sz w:val="22"/>
          <w:szCs w:val="22"/>
        </w:rPr>
      </w:pPr>
    </w:p>
    <w:p w14:paraId="63AA5176" w14:textId="77777777" w:rsidR="009411DC" w:rsidRDefault="009411DC" w:rsidP="009411DC">
      <w:pPr>
        <w:jc w:val="center"/>
        <w:rPr>
          <w:sz w:val="22"/>
          <w:szCs w:val="22"/>
        </w:rPr>
      </w:pPr>
    </w:p>
    <w:p w14:paraId="242CCBA0" w14:textId="3F64EBB0" w:rsidR="002800E3" w:rsidRPr="009411DC" w:rsidRDefault="002800E3" w:rsidP="009411DC">
      <w:pPr>
        <w:jc w:val="center"/>
        <w:rPr>
          <w:b/>
          <w:bCs/>
          <w:sz w:val="40"/>
          <w:szCs w:val="40"/>
        </w:rPr>
      </w:pPr>
      <w:r>
        <w:rPr>
          <w:b/>
          <w:sz w:val="40"/>
        </w:rPr>
        <w:t>ANHANG ZUM JAHRESABSCHLUSS FÜR DAS JAHR BIS ZUM</w:t>
      </w:r>
      <w:r w:rsidR="00417FB6">
        <w:rPr>
          <w:b/>
          <w:sz w:val="40"/>
        </w:rPr>
        <w:t xml:space="preserve"> </w:t>
      </w:r>
      <w:r>
        <w:rPr>
          <w:b/>
          <w:sz w:val="40"/>
        </w:rPr>
        <w:t>31. DEZEMBER 2023</w:t>
      </w:r>
    </w:p>
    <w:p w14:paraId="58EBBA53" w14:textId="751AB1D4" w:rsidR="009411DC" w:rsidRDefault="00FD0CCE" w:rsidP="002800E3">
      <w:pPr>
        <w:rPr>
          <w:sz w:val="22"/>
          <w:szCs w:val="22"/>
        </w:rPr>
      </w:pPr>
      <w:r>
        <w:rPr>
          <w:noProof/>
        </w:rPr>
        <w:drawing>
          <wp:anchor distT="0" distB="0" distL="114300" distR="114300" simplePos="0" relativeHeight="251694080" behindDoc="1" locked="0" layoutInCell="1" allowOverlap="1" wp14:anchorId="12EE56AE" wp14:editId="34BB9594">
            <wp:simplePos x="0" y="0"/>
            <wp:positionH relativeFrom="margin">
              <wp:posOffset>4433978</wp:posOffset>
            </wp:positionH>
            <wp:positionV relativeFrom="page">
              <wp:posOffset>9200635</wp:posOffset>
            </wp:positionV>
            <wp:extent cx="917575" cy="923290"/>
            <wp:effectExtent l="0" t="0" r="0" b="0"/>
            <wp:wrapNone/>
            <wp:docPr id="45"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br w:type="page"/>
      </w:r>
    </w:p>
    <w:p w14:paraId="658C89BF" w14:textId="5F7BC8DC" w:rsidR="002800E3" w:rsidRPr="00AD1EE2" w:rsidRDefault="002800E3" w:rsidP="00082318">
      <w:pPr>
        <w:pStyle w:val="Nadpis1"/>
        <w:spacing w:after="640"/>
      </w:pPr>
      <w:bookmarkStart w:id="4" w:name="_Toc167784869"/>
      <w:r>
        <w:lastRenderedPageBreak/>
        <w:t>ALLGEMEINE INFORMATIONEN</w:t>
      </w:r>
      <w:bookmarkEnd w:id="4"/>
    </w:p>
    <w:p w14:paraId="5B8D4F4F" w14:textId="1DD3B5B7" w:rsidR="002800E3" w:rsidRPr="00082318" w:rsidRDefault="002800E3" w:rsidP="00082318">
      <w:pPr>
        <w:pStyle w:val="Nadpis2"/>
        <w:spacing w:after="440"/>
      </w:pPr>
      <w:bookmarkStart w:id="5" w:name="_Toc167784870"/>
      <w:r>
        <w:t>ENTSTEHUNG UND CHARAKTERISTIK DES FONDS</w:t>
      </w:r>
      <w:bookmarkEnd w:id="5"/>
    </w:p>
    <w:p w14:paraId="57286B41" w14:textId="77777777" w:rsidR="002800E3" w:rsidRPr="00AD1EE2" w:rsidRDefault="002800E3" w:rsidP="00082318">
      <w:pPr>
        <w:spacing w:line="259" w:lineRule="auto"/>
        <w:jc w:val="both"/>
        <w:rPr>
          <w:sz w:val="22"/>
          <w:szCs w:val="22"/>
        </w:rPr>
      </w:pPr>
      <w:r>
        <w:rPr>
          <w:sz w:val="22"/>
        </w:rPr>
        <w:t xml:space="preserve">Der Fonds ZDR Investments SICAV, </w:t>
      </w:r>
      <w:proofErr w:type="spellStart"/>
      <w:r>
        <w:rPr>
          <w:sz w:val="22"/>
        </w:rPr>
        <w:t>a.s.</w:t>
      </w:r>
      <w:proofErr w:type="spellEnd"/>
      <w:r>
        <w:rPr>
          <w:sz w:val="22"/>
        </w:rPr>
        <w:t xml:space="preserve">, mit Sitz in </w:t>
      </w:r>
      <w:proofErr w:type="spellStart"/>
      <w:r>
        <w:rPr>
          <w:sz w:val="22"/>
        </w:rPr>
        <w:t>Jungmannova</w:t>
      </w:r>
      <w:proofErr w:type="spellEnd"/>
      <w:r>
        <w:rPr>
          <w:sz w:val="22"/>
        </w:rPr>
        <w:t xml:space="preserve"> 750/34, </w:t>
      </w:r>
      <w:proofErr w:type="spellStart"/>
      <w:r>
        <w:rPr>
          <w:sz w:val="22"/>
        </w:rPr>
        <w:t>Nové</w:t>
      </w:r>
      <w:proofErr w:type="spellEnd"/>
      <w:r>
        <w:rPr>
          <w:sz w:val="22"/>
        </w:rPr>
        <w:t xml:space="preserve"> </w:t>
      </w:r>
      <w:proofErr w:type="spellStart"/>
      <w:r>
        <w:rPr>
          <w:sz w:val="22"/>
        </w:rPr>
        <w:t>Město</w:t>
      </w:r>
      <w:proofErr w:type="spellEnd"/>
      <w:r>
        <w:rPr>
          <w:sz w:val="22"/>
        </w:rPr>
        <w:t xml:space="preserve">, 110 00 Praha 1, </w:t>
      </w:r>
      <w:proofErr w:type="gramStart"/>
      <w:r>
        <w:rPr>
          <w:sz w:val="22"/>
        </w:rPr>
        <w:t>Ident</w:t>
      </w:r>
      <w:proofErr w:type="gramEnd"/>
      <w:r>
        <w:rPr>
          <w:sz w:val="22"/>
        </w:rPr>
        <w:t>.-Nr. 064 21 091 (im Folgenden „</w:t>
      </w:r>
      <w:r>
        <w:rPr>
          <w:b/>
          <w:sz w:val="22"/>
        </w:rPr>
        <w:t>Fonds</w:t>
      </w:r>
      <w:r>
        <w:rPr>
          <w:sz w:val="22"/>
        </w:rPr>
        <w:t>“) wurde am 12. September 2017 durch Eintragung des Fonds im Handelsregister gegründet. Der Fonds wurde am 20. Juli 2017 in die von der Tschechischen Nationalbank geführte Liste der Investmentfonds mit Rechtspersönlichkeit eingetragen.</w:t>
      </w:r>
    </w:p>
    <w:p w14:paraId="777C091A" w14:textId="77777777" w:rsidR="00082318" w:rsidRDefault="00082318" w:rsidP="00082318">
      <w:pPr>
        <w:spacing w:line="259" w:lineRule="auto"/>
        <w:jc w:val="both"/>
        <w:rPr>
          <w:sz w:val="22"/>
          <w:szCs w:val="22"/>
        </w:rPr>
      </w:pPr>
    </w:p>
    <w:p w14:paraId="44A7897C" w14:textId="02A79C5B" w:rsidR="002800E3" w:rsidRPr="00AD1EE2" w:rsidRDefault="002800E3" w:rsidP="00082318">
      <w:pPr>
        <w:spacing w:line="259" w:lineRule="auto"/>
        <w:jc w:val="both"/>
        <w:rPr>
          <w:sz w:val="22"/>
          <w:szCs w:val="22"/>
        </w:rPr>
      </w:pPr>
      <w:r>
        <w:rPr>
          <w:sz w:val="22"/>
        </w:rPr>
        <w:t>Der Fonds unterliegt den Regulierungsanforderungen des tschechischen Gesetzes Nr. 240/2013 GBl. über Investmentgesellschaften und Investmentfonds in der geltenden Fassung („</w:t>
      </w:r>
      <w:proofErr w:type="spellStart"/>
      <w:r>
        <w:rPr>
          <w:b/>
          <w:sz w:val="22"/>
        </w:rPr>
        <w:t>InvG</w:t>
      </w:r>
      <w:proofErr w:type="spellEnd"/>
      <w:r>
        <w:rPr>
          <w:sz w:val="22"/>
        </w:rPr>
        <w:t>“).</w:t>
      </w:r>
    </w:p>
    <w:p w14:paraId="0A9A07B6" w14:textId="4C946D6A" w:rsidR="00082318" w:rsidRDefault="00082318" w:rsidP="00082318">
      <w:pPr>
        <w:spacing w:line="259" w:lineRule="auto"/>
        <w:jc w:val="both"/>
        <w:rPr>
          <w:sz w:val="22"/>
          <w:szCs w:val="22"/>
        </w:rPr>
      </w:pPr>
    </w:p>
    <w:p w14:paraId="6A5230F6" w14:textId="047573FE" w:rsidR="002800E3" w:rsidRPr="00AD1EE2" w:rsidRDefault="002800E3" w:rsidP="00082318">
      <w:pPr>
        <w:spacing w:line="259" w:lineRule="auto"/>
        <w:jc w:val="both"/>
        <w:rPr>
          <w:sz w:val="22"/>
          <w:szCs w:val="22"/>
        </w:rPr>
      </w:pPr>
      <w:r>
        <w:rPr>
          <w:sz w:val="22"/>
        </w:rPr>
        <w:t xml:space="preserve">Der Fonds ist ein qualifizierter Anlegerfonds, der im Sinne von § 95 Abs. 1 </w:t>
      </w:r>
      <w:proofErr w:type="spellStart"/>
      <w:r>
        <w:rPr>
          <w:sz w:val="22"/>
        </w:rPr>
        <w:t>InvG</w:t>
      </w:r>
      <w:proofErr w:type="spellEnd"/>
      <w:r>
        <w:rPr>
          <w:sz w:val="22"/>
        </w:rPr>
        <w:t xml:space="preserve"> von mehreren qualifizierten Anlegern durch die Ausgabe von Beteiligungspapieren Geldmittel oder geldwerte Gegenstände aufnimmt und die aufgenommenen Geldmittel oder geldwerte Gegenstände auf der Grundlage einer festgelegten Anlagestrategie zugunsten dieser qualifizierten Anleger gemeinsam investiert und diese Vermögenswerte weiter verwaltet.</w:t>
      </w:r>
    </w:p>
    <w:p w14:paraId="2D996BC9" w14:textId="77777777" w:rsidR="00082318" w:rsidRDefault="00082318" w:rsidP="00082318">
      <w:pPr>
        <w:spacing w:line="259" w:lineRule="auto"/>
        <w:jc w:val="both"/>
        <w:rPr>
          <w:sz w:val="22"/>
          <w:szCs w:val="22"/>
        </w:rPr>
      </w:pPr>
    </w:p>
    <w:p w14:paraId="6E2D422E" w14:textId="73897B85" w:rsidR="002800E3" w:rsidRPr="00AD1EE2" w:rsidRDefault="002800E3" w:rsidP="00082318">
      <w:pPr>
        <w:spacing w:line="259" w:lineRule="auto"/>
        <w:jc w:val="both"/>
        <w:rPr>
          <w:sz w:val="22"/>
          <w:szCs w:val="22"/>
        </w:rPr>
      </w:pPr>
      <w:r>
        <w:rPr>
          <w:sz w:val="22"/>
        </w:rPr>
        <w:t xml:space="preserve">Der Fonds ist kein leitender oder nachgeordneter Fonds und wird auf unbestimmte Zeit eingerichtet. In Übereinstimmung mit der Satzung legt der Fonds Teilfonds auf. Zum Tag seiner Entstehung legte der Fonds einen Teilfonds mit dem Namen ZDR, </w:t>
      </w:r>
      <w:proofErr w:type="spellStart"/>
      <w:r>
        <w:rPr>
          <w:sz w:val="22"/>
        </w:rPr>
        <w:t>podfond</w:t>
      </w:r>
      <w:proofErr w:type="spellEnd"/>
      <w:r>
        <w:rPr>
          <w:sz w:val="22"/>
        </w:rPr>
        <w:t xml:space="preserve"> Real Estate (im Folgenden „</w:t>
      </w:r>
      <w:proofErr w:type="spellStart"/>
      <w:r>
        <w:rPr>
          <w:b/>
          <w:bCs/>
          <w:sz w:val="22"/>
        </w:rPr>
        <w:t>Podfond</w:t>
      </w:r>
      <w:proofErr w:type="spellEnd"/>
      <w:r>
        <w:rPr>
          <w:sz w:val="22"/>
        </w:rPr>
        <w:t xml:space="preserve">“) auf. </w:t>
      </w:r>
      <w:proofErr w:type="spellStart"/>
      <w:r>
        <w:rPr>
          <w:sz w:val="22"/>
        </w:rPr>
        <w:t>Podfond</w:t>
      </w:r>
      <w:proofErr w:type="spellEnd"/>
      <w:r>
        <w:rPr>
          <w:sz w:val="22"/>
        </w:rPr>
        <w:t xml:space="preserve"> ist ein Fonds qualifizierter Anleger im Sinne von § 95 Abs. 1 </w:t>
      </w:r>
      <w:proofErr w:type="spellStart"/>
      <w:r>
        <w:rPr>
          <w:sz w:val="22"/>
        </w:rPr>
        <w:t>InvG</w:t>
      </w:r>
      <w:proofErr w:type="spellEnd"/>
      <w:r>
        <w:rPr>
          <w:sz w:val="22"/>
        </w:rPr>
        <w:t>.</w:t>
      </w:r>
    </w:p>
    <w:p w14:paraId="3E1CC67A" w14:textId="1D359CBE" w:rsidR="00082318" w:rsidRDefault="00082318" w:rsidP="00082318">
      <w:pPr>
        <w:spacing w:line="259" w:lineRule="auto"/>
        <w:jc w:val="both"/>
        <w:rPr>
          <w:sz w:val="22"/>
          <w:szCs w:val="22"/>
        </w:rPr>
      </w:pPr>
    </w:p>
    <w:p w14:paraId="5950BF5E" w14:textId="4BAF3AA2" w:rsidR="002800E3" w:rsidRPr="00AD1EE2" w:rsidRDefault="002800E3" w:rsidP="00082318">
      <w:pPr>
        <w:spacing w:line="259" w:lineRule="auto"/>
        <w:jc w:val="both"/>
        <w:rPr>
          <w:sz w:val="22"/>
          <w:szCs w:val="22"/>
        </w:rPr>
      </w:pPr>
      <w:r>
        <w:rPr>
          <w:sz w:val="22"/>
        </w:rPr>
        <w:t>Die Höhe des eingezahlten gezeichneten Grundkapitals beträgt 60,- CZK. (bis zum 24.11.2021 betrug die Höhe des eingezahlten gezeichneten Grundkapitals 30,- CZK). Die Höhe des gezeichneten Grundkapitals entspricht der Höhe der gezeichneten Gründeraktien. Das Grundkapital des Fonds entspricht seinem Fondskapital.</w:t>
      </w:r>
    </w:p>
    <w:p w14:paraId="08946D02" w14:textId="77777777" w:rsidR="00082318" w:rsidRDefault="00082318" w:rsidP="00082318">
      <w:pPr>
        <w:spacing w:line="259" w:lineRule="auto"/>
        <w:jc w:val="both"/>
        <w:rPr>
          <w:sz w:val="22"/>
          <w:szCs w:val="22"/>
        </w:rPr>
      </w:pPr>
    </w:p>
    <w:p w14:paraId="09CA5F48" w14:textId="526F080B" w:rsidR="002800E3" w:rsidRPr="00082318" w:rsidRDefault="002800E3" w:rsidP="00082318">
      <w:pPr>
        <w:spacing w:after="200" w:line="259" w:lineRule="auto"/>
        <w:jc w:val="both"/>
        <w:rPr>
          <w:sz w:val="22"/>
          <w:szCs w:val="22"/>
          <w:u w:val="single"/>
        </w:rPr>
      </w:pPr>
      <w:r>
        <w:rPr>
          <w:sz w:val="22"/>
          <w:u w:val="single"/>
        </w:rPr>
        <w:t>Die Verwahrstelle des Fonds zum 31.12.2023 ist:</w:t>
      </w:r>
    </w:p>
    <w:p w14:paraId="33B5F060" w14:textId="174E1C15" w:rsidR="002800E3" w:rsidRPr="00AD1EE2" w:rsidRDefault="002800E3" w:rsidP="00082318">
      <w:pPr>
        <w:spacing w:line="259" w:lineRule="auto"/>
        <w:jc w:val="both"/>
        <w:rPr>
          <w:sz w:val="22"/>
          <w:szCs w:val="22"/>
        </w:rPr>
      </w:pPr>
      <w:proofErr w:type="spellStart"/>
      <w:r>
        <w:rPr>
          <w:sz w:val="22"/>
        </w:rPr>
        <w:t>Česká</w:t>
      </w:r>
      <w:proofErr w:type="spellEnd"/>
      <w:r>
        <w:rPr>
          <w:sz w:val="22"/>
        </w:rPr>
        <w:t xml:space="preserve"> </w:t>
      </w:r>
      <w:proofErr w:type="spellStart"/>
      <w:r>
        <w:rPr>
          <w:sz w:val="22"/>
        </w:rPr>
        <w:t>spořitelna</w:t>
      </w:r>
      <w:proofErr w:type="spellEnd"/>
      <w:r>
        <w:rPr>
          <w:sz w:val="22"/>
        </w:rPr>
        <w:t xml:space="preserve">, </w:t>
      </w:r>
      <w:proofErr w:type="spellStart"/>
      <w:r>
        <w:rPr>
          <w:sz w:val="22"/>
        </w:rPr>
        <w:t>a.s.</w:t>
      </w:r>
      <w:proofErr w:type="spellEnd"/>
      <w:r>
        <w:rPr>
          <w:sz w:val="22"/>
        </w:rPr>
        <w:t xml:space="preserve">, </w:t>
      </w:r>
      <w:proofErr w:type="gramStart"/>
      <w:r>
        <w:rPr>
          <w:sz w:val="22"/>
        </w:rPr>
        <w:t>Ident</w:t>
      </w:r>
      <w:proofErr w:type="gramEnd"/>
      <w:r>
        <w:rPr>
          <w:sz w:val="22"/>
        </w:rPr>
        <w:t xml:space="preserve">.-Nr.: 452 44 782, mit Sitz in </w:t>
      </w:r>
      <w:proofErr w:type="spellStart"/>
      <w:r>
        <w:rPr>
          <w:sz w:val="22"/>
        </w:rPr>
        <w:t>Olbrachtova</w:t>
      </w:r>
      <w:proofErr w:type="spellEnd"/>
      <w:r>
        <w:rPr>
          <w:sz w:val="22"/>
        </w:rPr>
        <w:t xml:space="preserve"> 1929/62, Praha 4, PLZ 140 00.</w:t>
      </w:r>
    </w:p>
    <w:p w14:paraId="165E3AE0" w14:textId="77777777" w:rsidR="00082318" w:rsidRDefault="00082318" w:rsidP="00082318">
      <w:pPr>
        <w:spacing w:line="259" w:lineRule="auto"/>
        <w:jc w:val="both"/>
        <w:rPr>
          <w:sz w:val="22"/>
          <w:szCs w:val="22"/>
        </w:rPr>
      </w:pPr>
    </w:p>
    <w:p w14:paraId="65D35496" w14:textId="732610C5" w:rsidR="002800E3" w:rsidRPr="00082318" w:rsidRDefault="002800E3" w:rsidP="00082318">
      <w:pPr>
        <w:spacing w:after="200" w:line="259" w:lineRule="auto"/>
        <w:jc w:val="both"/>
        <w:rPr>
          <w:sz w:val="22"/>
          <w:szCs w:val="22"/>
          <w:u w:val="single"/>
        </w:rPr>
      </w:pPr>
      <w:r>
        <w:rPr>
          <w:sz w:val="22"/>
          <w:u w:val="single"/>
        </w:rPr>
        <w:t>Das gesetzlich vorgesehene Leitungsorgan des Fonds zum 31.12.2023 ist:</w:t>
      </w:r>
    </w:p>
    <w:p w14:paraId="7760E3CB" w14:textId="4866AEA8" w:rsidR="002800E3" w:rsidRPr="00AD1EE2" w:rsidRDefault="002800E3" w:rsidP="00082318">
      <w:pPr>
        <w:spacing w:line="259" w:lineRule="auto"/>
        <w:jc w:val="both"/>
        <w:rPr>
          <w:sz w:val="22"/>
          <w:szCs w:val="22"/>
        </w:rPr>
      </w:pPr>
      <w:r>
        <w:rPr>
          <w:sz w:val="22"/>
        </w:rPr>
        <w:t xml:space="preserve">CODYA </w:t>
      </w:r>
      <w:proofErr w:type="spellStart"/>
      <w:r>
        <w:rPr>
          <w:sz w:val="22"/>
        </w:rPr>
        <w:t>investiční</w:t>
      </w:r>
      <w:proofErr w:type="spellEnd"/>
      <w:r>
        <w:rPr>
          <w:sz w:val="22"/>
        </w:rPr>
        <w:t xml:space="preserve"> </w:t>
      </w:r>
      <w:proofErr w:type="spellStart"/>
      <w:r>
        <w:rPr>
          <w:sz w:val="22"/>
        </w:rPr>
        <w:t>společnost</w:t>
      </w:r>
      <w:proofErr w:type="spellEnd"/>
      <w:r>
        <w:rPr>
          <w:sz w:val="22"/>
        </w:rPr>
        <w:t xml:space="preserve">, </w:t>
      </w:r>
      <w:proofErr w:type="spellStart"/>
      <w:r>
        <w:rPr>
          <w:sz w:val="22"/>
        </w:rPr>
        <w:t>a.s.</w:t>
      </w:r>
      <w:proofErr w:type="spellEnd"/>
      <w:r>
        <w:rPr>
          <w:sz w:val="22"/>
        </w:rPr>
        <w:t xml:space="preserve">, </w:t>
      </w:r>
      <w:proofErr w:type="gramStart"/>
      <w:r>
        <w:rPr>
          <w:sz w:val="22"/>
        </w:rPr>
        <w:t>Ident</w:t>
      </w:r>
      <w:proofErr w:type="gramEnd"/>
      <w:r>
        <w:rPr>
          <w:sz w:val="22"/>
        </w:rPr>
        <w:t xml:space="preserve">.-Nr. 068 76 897, mit Sitz in </w:t>
      </w:r>
      <w:proofErr w:type="spellStart"/>
      <w:r>
        <w:rPr>
          <w:sz w:val="22"/>
        </w:rPr>
        <w:t>Poňava</w:t>
      </w:r>
      <w:proofErr w:type="spellEnd"/>
      <w:r>
        <w:rPr>
          <w:sz w:val="22"/>
        </w:rPr>
        <w:t xml:space="preserve"> 135/50, 664 31 </w:t>
      </w:r>
      <w:proofErr w:type="spellStart"/>
      <w:r>
        <w:rPr>
          <w:sz w:val="22"/>
        </w:rPr>
        <w:t>Lelekovice</w:t>
      </w:r>
      <w:proofErr w:type="spellEnd"/>
      <w:r>
        <w:rPr>
          <w:sz w:val="22"/>
        </w:rPr>
        <w:t xml:space="preserve">, die bei der Ausübung ihrer Funktion von Ing. Robert </w:t>
      </w:r>
      <w:proofErr w:type="spellStart"/>
      <w:r>
        <w:rPr>
          <w:sz w:val="22"/>
        </w:rPr>
        <w:t>Hlava</w:t>
      </w:r>
      <w:proofErr w:type="spellEnd"/>
      <w:r>
        <w:rPr>
          <w:sz w:val="22"/>
        </w:rPr>
        <w:t xml:space="preserve">, </w:t>
      </w:r>
      <w:proofErr w:type="spellStart"/>
      <w:r>
        <w:rPr>
          <w:sz w:val="22"/>
        </w:rPr>
        <w:t>Bc</w:t>
      </w:r>
      <w:proofErr w:type="spellEnd"/>
      <w:r>
        <w:rPr>
          <w:sz w:val="22"/>
        </w:rPr>
        <w:t xml:space="preserve">. Martin </w:t>
      </w:r>
      <w:proofErr w:type="spellStart"/>
      <w:r>
        <w:rPr>
          <w:sz w:val="22"/>
        </w:rPr>
        <w:t>Pšaidl</w:t>
      </w:r>
      <w:proofErr w:type="spellEnd"/>
      <w:r>
        <w:rPr>
          <w:sz w:val="22"/>
        </w:rPr>
        <w:t xml:space="preserve"> und Ing.</w:t>
      </w:r>
      <w:r w:rsidR="00BA2161">
        <w:rPr>
          <w:sz w:val="22"/>
        </w:rPr>
        <w:t> </w:t>
      </w:r>
      <w:r>
        <w:rPr>
          <w:sz w:val="22"/>
        </w:rPr>
        <w:t xml:space="preserve">Michal </w:t>
      </w:r>
      <w:proofErr w:type="spellStart"/>
      <w:r>
        <w:rPr>
          <w:sz w:val="22"/>
        </w:rPr>
        <w:t>Sedlák</w:t>
      </w:r>
      <w:proofErr w:type="spellEnd"/>
      <w:r>
        <w:rPr>
          <w:sz w:val="22"/>
        </w:rPr>
        <w:t>, MBA vertreten ist.</w:t>
      </w:r>
    </w:p>
    <w:p w14:paraId="40EA2EF8" w14:textId="3439E808" w:rsidR="00082318" w:rsidRDefault="00082318" w:rsidP="00082318">
      <w:pPr>
        <w:spacing w:line="259" w:lineRule="auto"/>
        <w:jc w:val="both"/>
        <w:rPr>
          <w:sz w:val="22"/>
          <w:szCs w:val="22"/>
        </w:rPr>
      </w:pPr>
    </w:p>
    <w:p w14:paraId="5B0FD2C3" w14:textId="00660A49" w:rsidR="002800E3" w:rsidRPr="00AD1EE2" w:rsidRDefault="002800E3" w:rsidP="00082318">
      <w:pPr>
        <w:spacing w:line="259" w:lineRule="auto"/>
        <w:jc w:val="both"/>
        <w:rPr>
          <w:sz w:val="22"/>
          <w:szCs w:val="22"/>
        </w:rPr>
      </w:pPr>
      <w:r>
        <w:rPr>
          <w:sz w:val="22"/>
        </w:rPr>
        <w:t xml:space="preserve">Die Verwaltung des Vermögensportfolios des Fonds wird vom Verwalter des Fonds, der Gesellschaft CODYA </w:t>
      </w:r>
      <w:proofErr w:type="spellStart"/>
      <w:r>
        <w:rPr>
          <w:sz w:val="22"/>
        </w:rPr>
        <w:t>investiční</w:t>
      </w:r>
      <w:proofErr w:type="spellEnd"/>
      <w:r>
        <w:rPr>
          <w:sz w:val="22"/>
        </w:rPr>
        <w:t xml:space="preserve"> </w:t>
      </w:r>
      <w:proofErr w:type="spellStart"/>
      <w:r>
        <w:rPr>
          <w:sz w:val="22"/>
        </w:rPr>
        <w:t>společnost</w:t>
      </w:r>
      <w:proofErr w:type="spellEnd"/>
      <w:r>
        <w:rPr>
          <w:sz w:val="22"/>
        </w:rPr>
        <w:t xml:space="preserve">, </w:t>
      </w:r>
      <w:proofErr w:type="spellStart"/>
      <w:r>
        <w:rPr>
          <w:sz w:val="22"/>
        </w:rPr>
        <w:t>a.s.</w:t>
      </w:r>
      <w:proofErr w:type="spellEnd"/>
      <w:r>
        <w:rPr>
          <w:sz w:val="22"/>
        </w:rPr>
        <w:t xml:space="preserve"> (im Folgenden „</w:t>
      </w:r>
      <w:r>
        <w:rPr>
          <w:b/>
          <w:bCs/>
          <w:sz w:val="22"/>
        </w:rPr>
        <w:t>Gesellschaft</w:t>
      </w:r>
      <w:r>
        <w:rPr>
          <w:sz w:val="22"/>
        </w:rPr>
        <w:t>“) durchgeführt. Die Gesellschaft verbucht den Stand und die Entwicklung des Vermögens des Fonds getrennt von ihrem Vermögen und dem Vermögen in sonstigen verwalteten Fonds.</w:t>
      </w:r>
    </w:p>
    <w:p w14:paraId="173D1084" w14:textId="4CE28A84" w:rsidR="00082318" w:rsidRDefault="00082318" w:rsidP="00082318">
      <w:pPr>
        <w:spacing w:line="259" w:lineRule="auto"/>
        <w:jc w:val="both"/>
        <w:rPr>
          <w:sz w:val="22"/>
          <w:szCs w:val="22"/>
        </w:rPr>
      </w:pPr>
    </w:p>
    <w:p w14:paraId="0DA0B1C0" w14:textId="2CCAEA8F" w:rsidR="00082318" w:rsidRDefault="00C47838" w:rsidP="00082318">
      <w:pPr>
        <w:spacing w:line="259" w:lineRule="auto"/>
        <w:jc w:val="both"/>
        <w:rPr>
          <w:sz w:val="22"/>
          <w:szCs w:val="22"/>
        </w:rPr>
      </w:pPr>
      <w:r>
        <w:rPr>
          <w:noProof/>
        </w:rPr>
        <w:drawing>
          <wp:anchor distT="0" distB="0" distL="114300" distR="114300" simplePos="0" relativeHeight="251696128" behindDoc="1" locked="0" layoutInCell="1" allowOverlap="1" wp14:anchorId="5424CC81" wp14:editId="50597E4F">
            <wp:simplePos x="0" y="0"/>
            <wp:positionH relativeFrom="margin">
              <wp:posOffset>4789286</wp:posOffset>
            </wp:positionH>
            <wp:positionV relativeFrom="margin">
              <wp:posOffset>8176722</wp:posOffset>
            </wp:positionV>
            <wp:extent cx="917575" cy="923290"/>
            <wp:effectExtent l="0" t="0" r="0" b="0"/>
            <wp:wrapNone/>
            <wp:docPr id="46"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rsidR="002800E3">
        <w:rPr>
          <w:sz w:val="22"/>
        </w:rPr>
        <w:t xml:space="preserve">Der Fonds hat keine Angestellten. Die Verwaltung des Vermögensportfolios des Fonds wird vom Verwalter des Fonds, der Gesellschaft CODYA </w:t>
      </w:r>
      <w:proofErr w:type="spellStart"/>
      <w:r w:rsidR="002800E3">
        <w:rPr>
          <w:sz w:val="22"/>
        </w:rPr>
        <w:t>investiční</w:t>
      </w:r>
      <w:proofErr w:type="spellEnd"/>
      <w:r w:rsidR="002800E3">
        <w:rPr>
          <w:sz w:val="22"/>
        </w:rPr>
        <w:t xml:space="preserve"> </w:t>
      </w:r>
      <w:proofErr w:type="spellStart"/>
      <w:r w:rsidR="002800E3">
        <w:rPr>
          <w:sz w:val="22"/>
        </w:rPr>
        <w:t>společnost</w:t>
      </w:r>
      <w:proofErr w:type="spellEnd"/>
      <w:r w:rsidR="002800E3">
        <w:rPr>
          <w:sz w:val="22"/>
        </w:rPr>
        <w:t xml:space="preserve">, </w:t>
      </w:r>
      <w:proofErr w:type="spellStart"/>
      <w:r w:rsidR="002800E3">
        <w:rPr>
          <w:sz w:val="22"/>
        </w:rPr>
        <w:t>a.s.</w:t>
      </w:r>
      <w:bookmarkStart w:id="6" w:name="_Toc167784871"/>
      <w:proofErr w:type="spellEnd"/>
    </w:p>
    <w:p w14:paraId="16C1AC28" w14:textId="09A0B2EB" w:rsidR="002800E3" w:rsidRPr="00AD1EE2" w:rsidRDefault="002800E3" w:rsidP="00082318">
      <w:pPr>
        <w:pStyle w:val="Nadpis2"/>
        <w:spacing w:after="120"/>
      </w:pPr>
      <w:r>
        <w:lastRenderedPageBreak/>
        <w:t>GRUNDLAGEN FÜR DIE AUFSTELLUNG DES JAHRESABSCHLUSSES</w:t>
      </w:r>
      <w:bookmarkEnd w:id="6"/>
    </w:p>
    <w:p w14:paraId="1EF64071" w14:textId="2C1217E0" w:rsidR="002800E3" w:rsidRPr="00AD1EE2" w:rsidRDefault="002800E3" w:rsidP="00082318">
      <w:pPr>
        <w:spacing w:line="264" w:lineRule="auto"/>
        <w:jc w:val="both"/>
        <w:rPr>
          <w:sz w:val="22"/>
          <w:szCs w:val="22"/>
        </w:rPr>
      </w:pPr>
      <w:r>
        <w:rPr>
          <w:sz w:val="22"/>
        </w:rPr>
        <w:t>Der Jahresabschluss des Fonds wird in Übereinstimmung mit dem Gesetz Nr. 563/1991 GBl. über die Rechnungslegung in der geltenden Fassung und der Verordnung Nr. 501/2002 GBl. zur Durchführung einiger Bestimmungen des Gesetzes Nr. 563/1991 GBl. über die Rechnungslegung in der geltenden Fassung für Gesellschaften, die Banken und andere Finanzinstitute sind (im Folgenden „</w:t>
      </w:r>
      <w:r>
        <w:rPr>
          <w:b/>
          <w:bCs/>
          <w:sz w:val="22"/>
        </w:rPr>
        <w:t>Verordnung</w:t>
      </w:r>
      <w:r>
        <w:rPr>
          <w:sz w:val="22"/>
        </w:rPr>
        <w:t>“), aufgestellt.</w:t>
      </w:r>
    </w:p>
    <w:p w14:paraId="78CA2E47" w14:textId="77777777" w:rsidR="00A40F49" w:rsidRDefault="00A40F49" w:rsidP="00082318">
      <w:pPr>
        <w:spacing w:line="259" w:lineRule="auto"/>
        <w:jc w:val="both"/>
        <w:rPr>
          <w:sz w:val="22"/>
          <w:szCs w:val="22"/>
        </w:rPr>
      </w:pPr>
    </w:p>
    <w:p w14:paraId="6812F495" w14:textId="4D2AAA0A" w:rsidR="002800E3" w:rsidRPr="00AD1EE2" w:rsidRDefault="002800E3" w:rsidP="00082318">
      <w:pPr>
        <w:spacing w:line="259" w:lineRule="auto"/>
        <w:jc w:val="both"/>
        <w:rPr>
          <w:sz w:val="22"/>
          <w:szCs w:val="22"/>
        </w:rPr>
      </w:pPr>
      <w:r>
        <w:rPr>
          <w:sz w:val="22"/>
        </w:rPr>
        <w:t>Gemäß § 4a Abs. 1 der Verordnung erfasst, bewertet und veröffentlicht der Fonds im Anhang zum Jahresabschluss Informationen über Finanzinstrumente gemäß den internationalen Rechnungslegungsstandards, wie sie durch die direkt anwendbaren Vorgaben der Europäischen Union über die Anwendung der internationalen Rechnungslegungsstandards geregelt sind.</w:t>
      </w:r>
    </w:p>
    <w:p w14:paraId="5E1D4682" w14:textId="77777777" w:rsidR="00A40F49" w:rsidRDefault="00A40F49" w:rsidP="00082318">
      <w:pPr>
        <w:spacing w:line="259" w:lineRule="auto"/>
        <w:jc w:val="both"/>
        <w:rPr>
          <w:sz w:val="22"/>
          <w:szCs w:val="22"/>
        </w:rPr>
      </w:pPr>
    </w:p>
    <w:p w14:paraId="3A3DE78C" w14:textId="7F5E422A" w:rsidR="002800E3" w:rsidRPr="00AD1EE2" w:rsidRDefault="002800E3" w:rsidP="00082318">
      <w:pPr>
        <w:spacing w:line="259" w:lineRule="auto"/>
        <w:jc w:val="both"/>
        <w:rPr>
          <w:sz w:val="22"/>
          <w:szCs w:val="22"/>
        </w:rPr>
      </w:pPr>
      <w:r>
        <w:rPr>
          <w:sz w:val="22"/>
        </w:rPr>
        <w:t>Der Jahresabschluss, bestehend aus der Bilanz, der Gewinn- und Verlustrechnung, der Eigenkapitalveränderungsrechnung und dem dazugehörigen Anhang wird gemäß dem tschechischen Rechnungslegungsgesetz, den vom Finanzministerium der Tschechischen Republik erlassenen Verordnungen sowie den tschechischen Rechnungslegungsstandards für Finanzinstitute aufgestellt. Er wird auf dem Grundsatz der historischen Anschaffungskosten aufgestellt, der durch die Bewertung von Finanzinstrumenten zum beizulegenden Zeitwert modifiziert wird.</w:t>
      </w:r>
    </w:p>
    <w:p w14:paraId="7FFEDEDC" w14:textId="77777777" w:rsidR="00A40F49" w:rsidRDefault="00A40F49" w:rsidP="00082318">
      <w:pPr>
        <w:spacing w:line="259" w:lineRule="auto"/>
        <w:jc w:val="both"/>
        <w:rPr>
          <w:sz w:val="22"/>
          <w:szCs w:val="22"/>
        </w:rPr>
      </w:pPr>
    </w:p>
    <w:p w14:paraId="73E8C384" w14:textId="2426CFCE" w:rsidR="002800E3" w:rsidRPr="00AD1EE2" w:rsidRDefault="002800E3" w:rsidP="00082318">
      <w:pPr>
        <w:spacing w:line="259" w:lineRule="auto"/>
        <w:jc w:val="both"/>
        <w:rPr>
          <w:sz w:val="22"/>
          <w:szCs w:val="22"/>
        </w:rPr>
      </w:pPr>
      <w:r>
        <w:rPr>
          <w:sz w:val="22"/>
        </w:rPr>
        <w:t>Der Jahresabschluss beachtet die allgemeinen Grundsätze der Rechnungslegung, insbesondere den Grundsatz der Rechnungslegung in zeitlichen und sachlichen Zusammenhängen, den Vorsichtsprinzip und die Annahme der Unternehmensfortführung.</w:t>
      </w:r>
    </w:p>
    <w:p w14:paraId="353EBF9A" w14:textId="77777777" w:rsidR="00A40F49" w:rsidRDefault="00A40F49" w:rsidP="00082318">
      <w:pPr>
        <w:spacing w:line="259" w:lineRule="auto"/>
        <w:jc w:val="both"/>
        <w:rPr>
          <w:sz w:val="22"/>
          <w:szCs w:val="22"/>
        </w:rPr>
      </w:pPr>
    </w:p>
    <w:p w14:paraId="43A1A11B" w14:textId="25E74B41" w:rsidR="002800E3" w:rsidRPr="00AD1EE2" w:rsidRDefault="002800E3" w:rsidP="00082318">
      <w:pPr>
        <w:spacing w:line="259" w:lineRule="auto"/>
        <w:jc w:val="both"/>
        <w:rPr>
          <w:sz w:val="22"/>
          <w:szCs w:val="22"/>
        </w:rPr>
      </w:pPr>
      <w:r>
        <w:rPr>
          <w:sz w:val="22"/>
        </w:rPr>
        <w:t>Die Aufstellung des Jahresabschlusses erfordert, dass der Fonds Schätzungen vornimmt, die sich auf die ausgewiesenen Werte der Aktiva und Passiva sowie der bedingten Aktiva und Passiva zum Tag der Aufstellung des Jahresabschlusses sowie der Aufwendungen und Erträge während der betreffenden Rechnungsperiode auswirken. Diese Schätzungen beruhen auf den zum Tag der Aufstellung des Jahresabschlusses verfügbaren Informationen und können von den tatsächlichen Ergebnissen abweichen.</w:t>
      </w:r>
    </w:p>
    <w:p w14:paraId="6B26694C" w14:textId="77777777" w:rsidR="00A40F49" w:rsidRDefault="00A40F49" w:rsidP="00082318">
      <w:pPr>
        <w:spacing w:line="259" w:lineRule="auto"/>
        <w:jc w:val="both"/>
        <w:rPr>
          <w:sz w:val="22"/>
          <w:szCs w:val="22"/>
        </w:rPr>
      </w:pPr>
    </w:p>
    <w:p w14:paraId="2AAE4FEB" w14:textId="43493942" w:rsidR="002800E3" w:rsidRPr="00AD1EE2" w:rsidRDefault="002800E3" w:rsidP="00082318">
      <w:pPr>
        <w:spacing w:line="259" w:lineRule="auto"/>
        <w:jc w:val="both"/>
        <w:rPr>
          <w:sz w:val="22"/>
          <w:szCs w:val="22"/>
        </w:rPr>
      </w:pPr>
      <w:r>
        <w:rPr>
          <w:sz w:val="22"/>
        </w:rPr>
        <w:t>Die im Jahresabschluss angeführten Beträge sind auf Tausende tschechische Kronen (Tsd. CZK) gerundet, sofern nicht anders angegeben, und der Jahresabschluss ist nicht konsolidiert.</w:t>
      </w:r>
    </w:p>
    <w:p w14:paraId="63C977EE" w14:textId="77777777" w:rsidR="00A40F49" w:rsidRDefault="00A40F49" w:rsidP="00082318">
      <w:pPr>
        <w:spacing w:line="259" w:lineRule="auto"/>
        <w:jc w:val="both"/>
        <w:rPr>
          <w:sz w:val="22"/>
          <w:szCs w:val="22"/>
        </w:rPr>
      </w:pPr>
    </w:p>
    <w:p w14:paraId="7C3CAC4E" w14:textId="3BA27E06" w:rsidR="002800E3" w:rsidRPr="00AD1EE2" w:rsidRDefault="002800E3" w:rsidP="00082318">
      <w:pPr>
        <w:spacing w:line="259" w:lineRule="auto"/>
        <w:jc w:val="both"/>
        <w:rPr>
          <w:sz w:val="22"/>
          <w:szCs w:val="22"/>
        </w:rPr>
      </w:pPr>
      <w:r>
        <w:rPr>
          <w:sz w:val="22"/>
        </w:rPr>
        <w:t>Der Jahresabschluss des Fonds wird für die Rechnungsperiode 1.1.2023 – 31.12.2023 aufgestellt. Die vergleichbare Vorperiode liegt in der Rechnungsperiode 1.1.2022 – 31.12.2022.</w:t>
      </w:r>
    </w:p>
    <w:p w14:paraId="1205B45C" w14:textId="77777777" w:rsidR="00A40F49" w:rsidRDefault="00A40F49" w:rsidP="00082318">
      <w:pPr>
        <w:spacing w:line="259" w:lineRule="auto"/>
        <w:jc w:val="both"/>
        <w:rPr>
          <w:sz w:val="22"/>
          <w:szCs w:val="22"/>
        </w:rPr>
      </w:pPr>
    </w:p>
    <w:p w14:paraId="3EAB268B" w14:textId="430AD7CD" w:rsidR="002800E3" w:rsidRPr="00AD1EE2" w:rsidRDefault="002800E3" w:rsidP="00082318">
      <w:pPr>
        <w:spacing w:line="259" w:lineRule="auto"/>
        <w:jc w:val="both"/>
        <w:rPr>
          <w:sz w:val="22"/>
          <w:szCs w:val="22"/>
        </w:rPr>
      </w:pPr>
      <w:r>
        <w:rPr>
          <w:sz w:val="22"/>
        </w:rPr>
        <w:t xml:space="preserve">Der Jahresabschluss des Fonds ist gemäß § 187 </w:t>
      </w:r>
      <w:proofErr w:type="spellStart"/>
      <w:r>
        <w:rPr>
          <w:sz w:val="22"/>
        </w:rPr>
        <w:t>InvG</w:t>
      </w:r>
      <w:proofErr w:type="spellEnd"/>
      <w:r>
        <w:rPr>
          <w:sz w:val="22"/>
        </w:rPr>
        <w:t xml:space="preserve"> von einem Wirtschaftsprüfer geprüft.</w:t>
      </w:r>
    </w:p>
    <w:p w14:paraId="09C8926A" w14:textId="77777777" w:rsidR="00A40F49" w:rsidRDefault="00A40F49" w:rsidP="00082318">
      <w:pPr>
        <w:spacing w:line="259" w:lineRule="auto"/>
        <w:jc w:val="both"/>
        <w:rPr>
          <w:sz w:val="22"/>
          <w:szCs w:val="22"/>
        </w:rPr>
      </w:pPr>
    </w:p>
    <w:p w14:paraId="46F2863A" w14:textId="7FE4DB93" w:rsidR="002800E3" w:rsidRPr="00AF2234" w:rsidRDefault="002800E3" w:rsidP="00082318">
      <w:pPr>
        <w:spacing w:line="259" w:lineRule="auto"/>
        <w:jc w:val="both"/>
        <w:rPr>
          <w:spacing w:val="-4"/>
          <w:sz w:val="22"/>
          <w:szCs w:val="22"/>
        </w:rPr>
      </w:pPr>
      <w:r w:rsidRPr="00AF2234">
        <w:rPr>
          <w:spacing w:val="-4"/>
          <w:sz w:val="22"/>
        </w:rPr>
        <w:t>Die Gesellschaft hat die Annahme der Fortführung des Fonds beurteilt und ist zu dem Schluss gekommen, dass in Anbetracht deren Nichtexistenz die Annahme der Fortführung des Fonds, d. h., dass der Fonds in der Lage ist, seine Tätigkeit auch in der Zukunft fortzuführen, nicht in Frage gestellt wird.</w:t>
      </w:r>
    </w:p>
    <w:p w14:paraId="60C3F191" w14:textId="77777777" w:rsidR="00A40F49" w:rsidRDefault="00A40F49" w:rsidP="00082318">
      <w:pPr>
        <w:spacing w:line="259" w:lineRule="auto"/>
        <w:jc w:val="both"/>
        <w:rPr>
          <w:sz w:val="22"/>
          <w:szCs w:val="22"/>
        </w:rPr>
      </w:pPr>
    </w:p>
    <w:p w14:paraId="61142FD7" w14:textId="6EA5914C" w:rsidR="002800E3" w:rsidRPr="00AD1EE2" w:rsidRDefault="002800E3" w:rsidP="00082318">
      <w:pPr>
        <w:spacing w:line="259" w:lineRule="auto"/>
        <w:jc w:val="both"/>
        <w:rPr>
          <w:sz w:val="22"/>
          <w:szCs w:val="22"/>
        </w:rPr>
      </w:pPr>
      <w:r>
        <w:rPr>
          <w:sz w:val="22"/>
        </w:rPr>
        <w:t>Der Jahresabschluss zum 31.12.2023 wurde daher unter der Berücksichtigung des vorstehend Genannten unter der Annahme, dass der Fonds in der Lage sein wird, seine Tätigkeit fortzusetzen, aufgestellt.</w:t>
      </w:r>
    </w:p>
    <w:p w14:paraId="0AB29386" w14:textId="77777777" w:rsidR="00A40F49" w:rsidRDefault="00A40F49" w:rsidP="00082318">
      <w:pPr>
        <w:spacing w:line="259" w:lineRule="auto"/>
        <w:jc w:val="both"/>
        <w:rPr>
          <w:sz w:val="22"/>
          <w:szCs w:val="22"/>
        </w:rPr>
      </w:pPr>
    </w:p>
    <w:p w14:paraId="5E7C43F7" w14:textId="58172350" w:rsidR="002800E3" w:rsidRPr="00AD1EE2" w:rsidRDefault="002800E3" w:rsidP="00AF2234">
      <w:pPr>
        <w:widowControl w:val="0"/>
        <w:spacing w:line="259" w:lineRule="auto"/>
        <w:jc w:val="both"/>
        <w:rPr>
          <w:sz w:val="22"/>
          <w:szCs w:val="22"/>
        </w:rPr>
      </w:pPr>
      <w:r>
        <w:rPr>
          <w:sz w:val="22"/>
        </w:rPr>
        <w:t xml:space="preserve">Obwohl die Gesellschaft zum Zeitpunkt der Veröffentlichung dieses Jahresabschlusses keine </w:t>
      </w:r>
      <w:r>
        <w:rPr>
          <w:sz w:val="22"/>
        </w:rPr>
        <w:lastRenderedPageBreak/>
        <w:t>Auswirkungen auf die Tätigkeit des Fonds feststellen konnte, ändert sich die Situation ständig, so dass es nicht möglich ist, die künftigen Auswirkungen der geopolitischen Lage auf die Tätigkeit des Fonds vorauszusehen. Die Gesellschaft wird die potenziellen Auswirkungen weiterhin überwachen und alle möglichen Schritte unternehmen, um etwaige negative Auswirkungen auf den Fonds abzumildern.</w:t>
      </w:r>
    </w:p>
    <w:p w14:paraId="4B46F852" w14:textId="0686FC37" w:rsidR="00A40F49" w:rsidRDefault="00FD0CCE" w:rsidP="00082318">
      <w:pPr>
        <w:spacing w:line="259" w:lineRule="auto"/>
        <w:jc w:val="both"/>
      </w:pPr>
      <w:r>
        <w:rPr>
          <w:noProof/>
        </w:rPr>
        <w:drawing>
          <wp:anchor distT="0" distB="0" distL="114300" distR="114300" simplePos="0" relativeHeight="251698176" behindDoc="1" locked="0" layoutInCell="1" allowOverlap="1" wp14:anchorId="460C5447" wp14:editId="2C63A4FE">
            <wp:simplePos x="0" y="0"/>
            <wp:positionH relativeFrom="margin">
              <wp:posOffset>4399471</wp:posOffset>
            </wp:positionH>
            <wp:positionV relativeFrom="page">
              <wp:posOffset>9481065</wp:posOffset>
            </wp:positionV>
            <wp:extent cx="917575" cy="923290"/>
            <wp:effectExtent l="0" t="0" r="0" b="0"/>
            <wp:wrapNone/>
            <wp:docPr id="47"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p>
    <w:p w14:paraId="03868CAC" w14:textId="77777777" w:rsidR="00AF2234" w:rsidRDefault="00AF2234" w:rsidP="00082318">
      <w:pPr>
        <w:spacing w:line="259" w:lineRule="auto"/>
        <w:jc w:val="both"/>
        <w:rPr>
          <w:sz w:val="22"/>
          <w:szCs w:val="22"/>
        </w:rPr>
      </w:pPr>
    </w:p>
    <w:p w14:paraId="6048340B" w14:textId="48E64D5D" w:rsidR="002800E3" w:rsidRPr="00AD1EE2" w:rsidRDefault="002800E3" w:rsidP="00A40F49">
      <w:pPr>
        <w:pStyle w:val="Nadpis1"/>
        <w:spacing w:after="240"/>
      </w:pPr>
      <w:bookmarkStart w:id="7" w:name="_Toc167784872"/>
      <w:r>
        <w:t>ANGEWANDTE RECHNUNGSLEGUNGSMETHODEN</w:t>
      </w:r>
      <w:bookmarkEnd w:id="7"/>
    </w:p>
    <w:p w14:paraId="4D01779E" w14:textId="44E49AC7" w:rsidR="002800E3" w:rsidRPr="00A40F49" w:rsidRDefault="002800E3" w:rsidP="00A40F49">
      <w:pPr>
        <w:pStyle w:val="Nadpis2"/>
        <w:spacing w:after="120"/>
      </w:pPr>
      <w:bookmarkStart w:id="8" w:name="_Toc167784873"/>
      <w:r>
        <w:t>BUCHUNGSTAG EINES BUCHUNGSFALLS</w:t>
      </w:r>
      <w:bookmarkEnd w:id="8"/>
    </w:p>
    <w:p w14:paraId="4C56B846" w14:textId="77777777" w:rsidR="002800E3" w:rsidRPr="00AD1EE2" w:rsidRDefault="002800E3" w:rsidP="00082318">
      <w:pPr>
        <w:spacing w:line="259" w:lineRule="auto"/>
        <w:jc w:val="both"/>
        <w:rPr>
          <w:sz w:val="22"/>
          <w:szCs w:val="22"/>
        </w:rPr>
      </w:pPr>
      <w:r>
        <w:rPr>
          <w:sz w:val="22"/>
        </w:rPr>
        <w:t>Finanzielle Vermögenswerte und Verbindlichkeiten werden erfasst, wenn der Fonds zum Vertragspartner der Transaktion wird. Ein finanzieller Vermögenswert oder ein Teil davon wird vom Fonds aus der Bilanz ausgebucht, falls der Fonds die Kontrolle über die vertraglichen Rechte an diesem finanziellen Vermögenswert oder einem Teil davon verliert. Der Fonds verliert diese Kontrolle, wenn er Rechte auf die im Vertrag definierten Vorteile geltend macht, wenn diese Rechte verfallen oder wenn er auf diese Rechte verzichtet.</w:t>
      </w:r>
    </w:p>
    <w:p w14:paraId="50E7B201" w14:textId="77777777" w:rsidR="00A40F49" w:rsidRDefault="00A40F49" w:rsidP="00082318">
      <w:pPr>
        <w:spacing w:line="259" w:lineRule="auto"/>
        <w:jc w:val="both"/>
        <w:rPr>
          <w:sz w:val="22"/>
          <w:szCs w:val="22"/>
        </w:rPr>
      </w:pPr>
    </w:p>
    <w:p w14:paraId="35E82109" w14:textId="07A27181" w:rsidR="002800E3" w:rsidRDefault="002800E3" w:rsidP="00082318">
      <w:pPr>
        <w:spacing w:line="259" w:lineRule="auto"/>
        <w:jc w:val="both"/>
        <w:rPr>
          <w:sz w:val="22"/>
          <w:szCs w:val="22"/>
        </w:rPr>
      </w:pPr>
      <w:r>
        <w:rPr>
          <w:sz w:val="22"/>
        </w:rPr>
        <w:t>Eine finanzielle Verbindlichkeit oder ein Teil davon ist getilgt, wenn die vertraglich festgelegte Pflicht erfüllt ist oder aufgehoben wird oder wenn deren Gültigkeit beendet ist und die Gesellschaft die finanzielle Verbindlichkeit oder einen Teil davon nicht mehr in der Bilanz ausweisen wird. Die Differenz zwischen dem Buchwert einer getilgten oder auf ein anderes Subjekt übertragenen Verbindlichkeit oder eines Teils davon und dem für diese Verbindlichkeit gezahlten Betrag wird als Aufwand oder Ertrag verbucht.</w:t>
      </w:r>
    </w:p>
    <w:p w14:paraId="7DE90647" w14:textId="77777777" w:rsidR="00A40F49" w:rsidRPr="00AD1EE2" w:rsidRDefault="00A40F49" w:rsidP="00082318">
      <w:pPr>
        <w:spacing w:line="259" w:lineRule="auto"/>
        <w:jc w:val="both"/>
        <w:rPr>
          <w:sz w:val="22"/>
          <w:szCs w:val="22"/>
        </w:rPr>
      </w:pPr>
    </w:p>
    <w:p w14:paraId="25481450" w14:textId="028D73DC" w:rsidR="002800E3" w:rsidRPr="00AD1EE2" w:rsidRDefault="002800E3" w:rsidP="00A40F49">
      <w:pPr>
        <w:pStyle w:val="Nadpis2"/>
        <w:spacing w:after="120"/>
      </w:pPr>
      <w:bookmarkStart w:id="9" w:name="_Toc167784874"/>
      <w:r>
        <w:t>FINANZINSTRUMENTE</w:t>
      </w:r>
      <w:bookmarkEnd w:id="9"/>
    </w:p>
    <w:p w14:paraId="594003D3" w14:textId="77777777" w:rsidR="002800E3" w:rsidRPr="00AD1EE2" w:rsidRDefault="002800E3" w:rsidP="00A40F49">
      <w:pPr>
        <w:spacing w:after="120" w:line="259" w:lineRule="auto"/>
        <w:jc w:val="both"/>
        <w:rPr>
          <w:sz w:val="22"/>
          <w:szCs w:val="22"/>
        </w:rPr>
      </w:pPr>
      <w:r>
        <w:rPr>
          <w:sz w:val="22"/>
        </w:rPr>
        <w:t>Gemäß § 4a der Verordnung unterliegen alle Finanzinstrumente ab dem 1. Januar 2021 den Vorschriften IFRS 9 Finanzinstrumente.</w:t>
      </w:r>
    </w:p>
    <w:p w14:paraId="07DF896D" w14:textId="77777777" w:rsidR="002800E3" w:rsidRPr="00AD1EE2" w:rsidRDefault="002800E3" w:rsidP="00A40F49">
      <w:pPr>
        <w:spacing w:after="160" w:line="259" w:lineRule="auto"/>
        <w:jc w:val="both"/>
        <w:rPr>
          <w:sz w:val="22"/>
          <w:szCs w:val="22"/>
        </w:rPr>
      </w:pPr>
      <w:r>
        <w:rPr>
          <w:sz w:val="22"/>
        </w:rPr>
        <w:t>Der Fonds verwendet nur die folgende Kategorie für die Bewertung von Finanzinstrumenten:</w:t>
      </w:r>
    </w:p>
    <w:p w14:paraId="25A7D0EC" w14:textId="6F58A9EE" w:rsidR="002800E3" w:rsidRPr="00A40F49" w:rsidRDefault="002800E3" w:rsidP="00A40F49">
      <w:pPr>
        <w:pStyle w:val="Odstavecseseznamem"/>
        <w:numPr>
          <w:ilvl w:val="0"/>
          <w:numId w:val="4"/>
        </w:numPr>
        <w:spacing w:after="120" w:line="259" w:lineRule="auto"/>
        <w:ind w:left="714" w:hanging="357"/>
        <w:contextualSpacing w:val="0"/>
        <w:jc w:val="both"/>
        <w:rPr>
          <w:sz w:val="22"/>
          <w:szCs w:val="22"/>
        </w:rPr>
      </w:pPr>
      <w:r>
        <w:rPr>
          <w:sz w:val="22"/>
        </w:rPr>
        <w:t>erfolgswirksam zum beizulegenden Zeitwert bewertete Finanzinstrumente (FVTPL).</w:t>
      </w:r>
    </w:p>
    <w:p w14:paraId="3206BBA9" w14:textId="77777777" w:rsidR="002800E3" w:rsidRPr="00AD1EE2" w:rsidRDefault="002800E3" w:rsidP="00082318">
      <w:pPr>
        <w:spacing w:line="259" w:lineRule="auto"/>
        <w:jc w:val="both"/>
        <w:rPr>
          <w:sz w:val="22"/>
          <w:szCs w:val="22"/>
        </w:rPr>
      </w:pPr>
      <w:r>
        <w:rPr>
          <w:sz w:val="22"/>
        </w:rPr>
        <w:t>Finanzielle Vermögenswerte und finanzielle Verbindlichkeiten werden in der Bilanz zu dem Zeitpunkt ausgewiesen, zu dem der Fonds Vertragspartei der Bestimmungen der Finanzinstrumente wird.</w:t>
      </w:r>
    </w:p>
    <w:p w14:paraId="0839AEBB" w14:textId="77777777" w:rsidR="00A40F49" w:rsidRDefault="00A40F49" w:rsidP="00082318">
      <w:pPr>
        <w:spacing w:line="259" w:lineRule="auto"/>
        <w:jc w:val="both"/>
        <w:rPr>
          <w:sz w:val="22"/>
          <w:szCs w:val="22"/>
        </w:rPr>
      </w:pPr>
    </w:p>
    <w:p w14:paraId="475A18A3" w14:textId="0F3BCF63" w:rsidR="002800E3" w:rsidRDefault="002800E3" w:rsidP="00A40F49">
      <w:pPr>
        <w:spacing w:after="200" w:line="259" w:lineRule="auto"/>
        <w:jc w:val="both"/>
        <w:rPr>
          <w:sz w:val="22"/>
          <w:szCs w:val="22"/>
        </w:rPr>
      </w:pPr>
      <w:r>
        <w:rPr>
          <w:sz w:val="22"/>
        </w:rPr>
        <w:t xml:space="preserve">Finanzielle Vermögenswerte und Verbindlichkeiten werden beim erstmaligen Ausweisen zum beizulegenden Zeitwert bewertet. Der beizulegende Zeitwert von finanziellen Vermögenswerten oder finanziellen Verbindlichkeiten, die nicht als erfolgswirksam zum beizulegenden Zeitwert bewertet eingestuft werden, </w:t>
      </w:r>
      <w:proofErr w:type="gramStart"/>
      <w:r>
        <w:rPr>
          <w:sz w:val="22"/>
        </w:rPr>
        <w:t>ist</w:t>
      </w:r>
      <w:proofErr w:type="gramEnd"/>
      <w:r>
        <w:rPr>
          <w:sz w:val="22"/>
        </w:rPr>
        <w:t xml:space="preserve"> um die Transaktionskosten zu bereinigen, die direkt mit dem Erwerb oder der Emission des Finanzinstruments zusammenhängen. Der Fonds weist in der Bilanz die folgenden Posten aus:</w:t>
      </w:r>
    </w:p>
    <w:p w14:paraId="667001AD" w14:textId="7632A048" w:rsidR="002800E3" w:rsidRPr="00AD1EE2" w:rsidRDefault="002800E3" w:rsidP="00A40F49">
      <w:pPr>
        <w:pStyle w:val="Odstavecseseznamem"/>
        <w:numPr>
          <w:ilvl w:val="0"/>
          <w:numId w:val="4"/>
        </w:numPr>
        <w:spacing w:after="120" w:line="259" w:lineRule="auto"/>
        <w:ind w:left="714" w:hanging="357"/>
        <w:contextualSpacing w:val="0"/>
        <w:jc w:val="both"/>
        <w:rPr>
          <w:sz w:val="22"/>
          <w:szCs w:val="22"/>
        </w:rPr>
      </w:pPr>
      <w:r>
        <w:rPr>
          <w:sz w:val="22"/>
        </w:rPr>
        <w:t>Sonstige Aktiva</w:t>
      </w:r>
    </w:p>
    <w:p w14:paraId="71FD293B" w14:textId="1C1BB69C" w:rsidR="002800E3" w:rsidRPr="00AD1EE2" w:rsidRDefault="002800E3" w:rsidP="00A40F49">
      <w:pPr>
        <w:pStyle w:val="Nadpis2"/>
        <w:spacing w:before="280" w:after="120"/>
      </w:pPr>
      <w:bookmarkStart w:id="10" w:name="_Toc167784875"/>
      <w:r>
        <w:t>BEWERTUNG ZUM BEIZULEGENDEN ZEITWERT</w:t>
      </w:r>
      <w:bookmarkEnd w:id="10"/>
    </w:p>
    <w:p w14:paraId="18239F0B" w14:textId="2525B7E2" w:rsidR="002800E3" w:rsidRPr="00AD1EE2" w:rsidRDefault="002800E3" w:rsidP="00082318">
      <w:pPr>
        <w:spacing w:line="259" w:lineRule="auto"/>
        <w:jc w:val="both"/>
        <w:rPr>
          <w:sz w:val="22"/>
          <w:szCs w:val="22"/>
        </w:rPr>
      </w:pPr>
      <w:r>
        <w:rPr>
          <w:sz w:val="22"/>
        </w:rPr>
        <w:t>Der International Financial Reporting Standard IFRS 13 definiert den beizulegenden Zeitwert als den Preis, zu dem in einer gängigen Transaktion zwischen Marktteilnehmern zu einem bestimmten Zeitpunkt ein Vermögenswert verkauft oder eine Verbindlichkeit übertragen werden könnte.</w:t>
      </w:r>
    </w:p>
    <w:p w14:paraId="29991DF9" w14:textId="330C0E87" w:rsidR="002800E3" w:rsidRPr="00AD1EE2" w:rsidRDefault="002800E3" w:rsidP="00A40F49">
      <w:pPr>
        <w:spacing w:after="240" w:line="259" w:lineRule="auto"/>
        <w:jc w:val="both"/>
        <w:rPr>
          <w:sz w:val="22"/>
          <w:szCs w:val="22"/>
        </w:rPr>
      </w:pPr>
      <w:r>
        <w:rPr>
          <w:sz w:val="22"/>
        </w:rPr>
        <w:lastRenderedPageBreak/>
        <w:t>In der Praxis wird zur Ermittlung des beizulegenden Zeitwerts einer oder eine Kombination von drei Bewertungsansätzen verwendet:</w:t>
      </w:r>
    </w:p>
    <w:p w14:paraId="721F9D0A" w14:textId="04B99D2A" w:rsidR="002800E3" w:rsidRPr="00AD1EE2" w:rsidRDefault="002800E3" w:rsidP="00A40F49">
      <w:pPr>
        <w:pStyle w:val="Odstavecseseznamem"/>
        <w:numPr>
          <w:ilvl w:val="0"/>
          <w:numId w:val="4"/>
        </w:numPr>
        <w:spacing w:after="240" w:line="264" w:lineRule="auto"/>
        <w:ind w:left="714" w:hanging="357"/>
        <w:contextualSpacing w:val="0"/>
        <w:jc w:val="both"/>
        <w:rPr>
          <w:sz w:val="22"/>
          <w:szCs w:val="22"/>
        </w:rPr>
      </w:pPr>
      <w:r>
        <w:rPr>
          <w:sz w:val="22"/>
        </w:rPr>
        <w:t>Marktansatz = verwendet Preise und andere relevante Informationen, die durch Markttransaktionen mit identischen oder vergleichbaren (d. h. ähnlichen) Vermögenswerten, Verbindlichkeiten oder einer Gruppe von Vermögenswerten und Verbindlichkeiten wie einem Unternehmen gewonnen werden.</w:t>
      </w:r>
    </w:p>
    <w:p w14:paraId="41D882B1" w14:textId="4E212E93" w:rsidR="002800E3" w:rsidRPr="00AD1EE2" w:rsidRDefault="00A40F49" w:rsidP="00A40F49">
      <w:pPr>
        <w:pStyle w:val="Odstavecseseznamem"/>
        <w:numPr>
          <w:ilvl w:val="0"/>
          <w:numId w:val="4"/>
        </w:numPr>
        <w:spacing w:after="240" w:line="264" w:lineRule="auto"/>
        <w:ind w:left="714" w:hanging="357"/>
        <w:contextualSpacing w:val="0"/>
        <w:jc w:val="both"/>
        <w:rPr>
          <w:sz w:val="22"/>
          <w:szCs w:val="22"/>
        </w:rPr>
      </w:pPr>
      <w:r>
        <w:rPr>
          <w:noProof/>
        </w:rPr>
        <w:drawing>
          <wp:anchor distT="0" distB="0" distL="114300" distR="114300" simplePos="0" relativeHeight="251675648" behindDoc="1" locked="0" layoutInCell="1" allowOverlap="1" wp14:anchorId="64D00766" wp14:editId="1F164FE3">
            <wp:simplePos x="0" y="0"/>
            <wp:positionH relativeFrom="margin">
              <wp:posOffset>4597324</wp:posOffset>
            </wp:positionH>
            <wp:positionV relativeFrom="page">
              <wp:posOffset>9655505</wp:posOffset>
            </wp:positionV>
            <wp:extent cx="917575" cy="923290"/>
            <wp:effectExtent l="0" t="0" r="0" b="0"/>
            <wp:wrapNone/>
            <wp:docPr id="3"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t>Einkommensbasierter Ansatz</w:t>
      </w:r>
      <w:r>
        <w:rPr>
          <w:sz w:val="22"/>
        </w:rPr>
        <w:t xml:space="preserve"> = wandelt künftige Beträge (z. B. Zahlungsströme oder Erträge und Aufwendungen) in den aktuellen (abgezinsten) Wert um. Die Bewertung zum beizulegenden Zeitwert erfolgt auf der Grundlage des Werts, auf den gegenwärtige Markterwartungen hinsichtlich dieser künftigen Beträge hindeuten.</w:t>
      </w:r>
      <w:r>
        <w:t xml:space="preserve"> </w:t>
      </w:r>
    </w:p>
    <w:p w14:paraId="2A1A9618" w14:textId="1D8FC9E8" w:rsidR="002800E3" w:rsidRPr="00AD1EE2" w:rsidRDefault="002800E3" w:rsidP="00A40F49">
      <w:pPr>
        <w:pStyle w:val="Odstavecseseznamem"/>
        <w:numPr>
          <w:ilvl w:val="0"/>
          <w:numId w:val="4"/>
        </w:numPr>
        <w:spacing w:after="240" w:line="264" w:lineRule="auto"/>
        <w:ind w:left="714" w:hanging="357"/>
        <w:contextualSpacing w:val="0"/>
        <w:jc w:val="both"/>
        <w:rPr>
          <w:sz w:val="22"/>
          <w:szCs w:val="22"/>
        </w:rPr>
      </w:pPr>
      <w:r>
        <w:rPr>
          <w:sz w:val="22"/>
        </w:rPr>
        <w:t>Kostenbasierter Ansatz = berücksichtigt den Betrag, der gegenwärtig erforderlich wäre, um die Dienstleistungskapazität eines Vermögenswerts zu ersetzen (häufig auch als aktuelle Wiederbeschaffungskosten bezeichnet).</w:t>
      </w:r>
    </w:p>
    <w:p w14:paraId="58FCEFBB" w14:textId="77777777" w:rsidR="002800E3" w:rsidRPr="00AD1EE2" w:rsidRDefault="002800E3" w:rsidP="00082318">
      <w:pPr>
        <w:spacing w:line="259" w:lineRule="auto"/>
        <w:jc w:val="both"/>
        <w:rPr>
          <w:sz w:val="22"/>
          <w:szCs w:val="22"/>
        </w:rPr>
      </w:pPr>
      <w:r>
        <w:rPr>
          <w:sz w:val="22"/>
        </w:rPr>
        <w:t>Hierarchie der beizulegenden Zeitwerte</w:t>
      </w:r>
    </w:p>
    <w:p w14:paraId="51DD74DD" w14:textId="77777777" w:rsidR="00B97D72" w:rsidRDefault="00B97D72" w:rsidP="00082318">
      <w:pPr>
        <w:spacing w:line="259" w:lineRule="auto"/>
        <w:jc w:val="both"/>
        <w:rPr>
          <w:sz w:val="22"/>
          <w:szCs w:val="22"/>
        </w:rPr>
      </w:pPr>
    </w:p>
    <w:p w14:paraId="7A85D10A" w14:textId="59ACB660" w:rsidR="002800E3" w:rsidRPr="00AD1EE2" w:rsidRDefault="002800E3" w:rsidP="00B97D72">
      <w:pPr>
        <w:spacing w:after="240" w:line="259" w:lineRule="auto"/>
        <w:jc w:val="both"/>
        <w:rPr>
          <w:sz w:val="22"/>
          <w:szCs w:val="22"/>
        </w:rPr>
      </w:pPr>
      <w:r>
        <w:rPr>
          <w:sz w:val="22"/>
        </w:rPr>
        <w:t>Für die Bewertung von Finanzinstrumenten verwendet der Fonds ausschließlich Inputfaktoren der Stufe 3.</w:t>
      </w:r>
    </w:p>
    <w:p w14:paraId="7AB1735A" w14:textId="56BE9161" w:rsidR="002800E3" w:rsidRPr="00AD1EE2" w:rsidRDefault="002800E3" w:rsidP="00B97D72">
      <w:pPr>
        <w:pStyle w:val="Odstavecseseznamem"/>
        <w:numPr>
          <w:ilvl w:val="0"/>
          <w:numId w:val="4"/>
        </w:numPr>
        <w:spacing w:after="120" w:line="264" w:lineRule="auto"/>
        <w:ind w:left="714" w:hanging="357"/>
        <w:contextualSpacing w:val="0"/>
        <w:jc w:val="both"/>
        <w:rPr>
          <w:sz w:val="22"/>
          <w:szCs w:val="22"/>
        </w:rPr>
      </w:pPr>
      <w:r>
        <w:rPr>
          <w:sz w:val="22"/>
        </w:rPr>
        <w:t>Inputfaktoren der Stufe 3 – Inputfaktoren der Stufe 3 sind nicht beobachtbare Inputvariablen. Diese Stufe umfasst alle Instrumente, deren Bewertungsmethoden nicht beobachtbare Inputfaktoren enthalten und bei denen nicht beobachtbare Inputfaktoren einen wesentlichen Einfluss auf die Bewertung des Instruments haben. Diese Stufe umfasst Instrumente, die auf der Grundlage notierter Preise für ähnliche Instrumente bewertet werden, für die signifikante nicht beobachtbare Anpassungen oder Voraussetzungen erforderlich sind, um Unterschiede zwischen den Instrumenten widerzuspiegeln.</w:t>
      </w:r>
    </w:p>
    <w:p w14:paraId="04A33451" w14:textId="77777777" w:rsidR="002800E3" w:rsidRPr="00AD1EE2" w:rsidRDefault="002800E3" w:rsidP="00082318">
      <w:pPr>
        <w:spacing w:line="259" w:lineRule="auto"/>
        <w:jc w:val="both"/>
        <w:rPr>
          <w:sz w:val="22"/>
          <w:szCs w:val="22"/>
        </w:rPr>
      </w:pPr>
      <w:r>
        <w:rPr>
          <w:sz w:val="22"/>
        </w:rPr>
        <w:t>Kurzfristige Vermögenswerte und Verbindlichkeiten mit einer Laufzeit von bis zu einem Jahr werden zu ihrem Nennwert bewertet, bei dem die Voraussetzung besteht, dass er mit dem beizulegenden Zeitwert vergleichbar ist.</w:t>
      </w:r>
    </w:p>
    <w:p w14:paraId="041ABB35" w14:textId="18BF7A97" w:rsidR="002800E3" w:rsidRPr="00AD1EE2" w:rsidRDefault="002800E3" w:rsidP="00B97D72">
      <w:pPr>
        <w:pStyle w:val="Nadpis2"/>
        <w:spacing w:before="240" w:after="160"/>
      </w:pPr>
      <w:bookmarkStart w:id="11" w:name="_Toc167784876"/>
      <w:r>
        <w:t>GRUNDKAPITAL DES FONDS</w:t>
      </w:r>
      <w:bookmarkEnd w:id="11"/>
    </w:p>
    <w:p w14:paraId="0B0EBFEF" w14:textId="2D618E6A" w:rsidR="00B97D72" w:rsidRDefault="002800E3" w:rsidP="00B97D72">
      <w:pPr>
        <w:spacing w:after="240" w:line="259" w:lineRule="auto"/>
        <w:jc w:val="both"/>
        <w:rPr>
          <w:sz w:val="22"/>
          <w:szCs w:val="22"/>
        </w:rPr>
      </w:pPr>
      <w:r>
        <w:rPr>
          <w:sz w:val="22"/>
        </w:rPr>
        <w:t>Das Grundkapital des Fonds besteht aus einer Anzahl von Gründeraktien in verbriefter Form, die auf den Namen lauten, Stückaktien (Aktien ohne Nennbetrag) sind, und an die Gründer des Fonds ausgegeben werden. Die Währung des Emissionskurses der Gründeraktien ist CZK.</w:t>
      </w:r>
    </w:p>
    <w:p w14:paraId="79407ECE" w14:textId="32ABFCD2" w:rsidR="002800E3" w:rsidRPr="00AD1EE2" w:rsidRDefault="002800E3" w:rsidP="00B97D72">
      <w:pPr>
        <w:spacing w:line="259" w:lineRule="auto"/>
        <w:jc w:val="both"/>
        <w:rPr>
          <w:sz w:val="22"/>
          <w:szCs w:val="22"/>
        </w:rPr>
      </w:pPr>
      <w:r>
        <w:rPr>
          <w:sz w:val="22"/>
        </w:rPr>
        <w:t xml:space="preserve">Einzelne Gründeraktien eines Aktionärs können durch eine Sammelaktie ersetzt werden. Die Gründeraktien des Fonds dürfen gemäß der Bestimmung von § 159 Abs. 2 </w:t>
      </w:r>
      <w:proofErr w:type="spellStart"/>
      <w:r>
        <w:rPr>
          <w:sz w:val="22"/>
        </w:rPr>
        <w:t>InvG</w:t>
      </w:r>
      <w:proofErr w:type="spellEnd"/>
      <w:r>
        <w:rPr>
          <w:sz w:val="22"/>
        </w:rPr>
        <w:t xml:space="preserve"> an einem europäischen geregelten Markt oder einem anderen öffentlichen Markt nicht gehandelt werden. Die Gründeraktien werden als Wertpapiere, die auf den Namen lauten, von den Aktionären des Fonds gehalten, die für ihre Verwahrung verantwortlich sind.</w:t>
      </w:r>
    </w:p>
    <w:p w14:paraId="3A4D9AEC" w14:textId="08875D1B" w:rsidR="002800E3" w:rsidRPr="00AD1EE2" w:rsidRDefault="002800E3" w:rsidP="00B97D72">
      <w:pPr>
        <w:pStyle w:val="Nadpis2"/>
        <w:spacing w:before="240" w:after="160"/>
      </w:pPr>
      <w:bookmarkStart w:id="12" w:name="_Toc167784877"/>
      <w:r>
        <w:t>VERBUNDENE UNTERNEHMEN</w:t>
      </w:r>
      <w:bookmarkEnd w:id="12"/>
    </w:p>
    <w:p w14:paraId="4E3D33C3" w14:textId="77777777" w:rsidR="002800E3" w:rsidRPr="00AD1EE2" w:rsidRDefault="002800E3" w:rsidP="00B97D72">
      <w:pPr>
        <w:spacing w:after="240" w:line="259" w:lineRule="auto"/>
        <w:jc w:val="both"/>
        <w:rPr>
          <w:sz w:val="22"/>
          <w:szCs w:val="22"/>
        </w:rPr>
      </w:pPr>
      <w:r>
        <w:rPr>
          <w:sz w:val="22"/>
        </w:rPr>
        <w:t>Verbundene Unternehmen werden in Übereinstimmung mit der Veröffentlichung verbundener Unternehmen wie folgt definiert:</w:t>
      </w:r>
    </w:p>
    <w:p w14:paraId="1CF7AC7D" w14:textId="2B936021" w:rsidR="002800E3" w:rsidRPr="00AD1EE2" w:rsidRDefault="002800E3" w:rsidP="00B97D72">
      <w:pPr>
        <w:spacing w:line="259" w:lineRule="auto"/>
        <w:ind w:left="709"/>
        <w:jc w:val="both"/>
        <w:rPr>
          <w:sz w:val="22"/>
          <w:szCs w:val="22"/>
        </w:rPr>
      </w:pPr>
      <w:r>
        <w:rPr>
          <w:b/>
          <w:sz w:val="22"/>
        </w:rPr>
        <w:lastRenderedPageBreak/>
        <w:t>a)</w:t>
      </w:r>
      <w:r>
        <w:rPr>
          <w:sz w:val="22"/>
        </w:rPr>
        <w:t xml:space="preserve"> Eine Person oder ein nahestehendes Familienmitglied dieser Person, sofern diese Person:</w:t>
      </w:r>
    </w:p>
    <w:p w14:paraId="64A0F96C" w14:textId="40B38886" w:rsidR="002800E3" w:rsidRPr="00AD1EE2" w:rsidRDefault="002800E3" w:rsidP="00B97D72">
      <w:pPr>
        <w:spacing w:line="259" w:lineRule="auto"/>
        <w:ind w:left="1418"/>
        <w:jc w:val="both"/>
        <w:rPr>
          <w:sz w:val="22"/>
          <w:szCs w:val="22"/>
        </w:rPr>
      </w:pPr>
      <w:r>
        <w:rPr>
          <w:sz w:val="22"/>
        </w:rPr>
        <w:t>i) die berichtende Gesellschaft beherrscht oder zusammen mit einer anderen Person beherrscht; oder</w:t>
      </w:r>
    </w:p>
    <w:p w14:paraId="0E8D7F0D" w14:textId="287B8CFE" w:rsidR="002800E3" w:rsidRPr="00AD1EE2" w:rsidRDefault="002800E3" w:rsidP="00B97D72">
      <w:pPr>
        <w:spacing w:line="259" w:lineRule="auto"/>
        <w:ind w:left="1418"/>
        <w:jc w:val="both"/>
        <w:rPr>
          <w:sz w:val="22"/>
          <w:szCs w:val="22"/>
        </w:rPr>
      </w:pPr>
      <w:r>
        <w:rPr>
          <w:sz w:val="22"/>
        </w:rPr>
        <w:t>ii) direkt oder indirekt einen wesentlichen Anteil oder Einfluss hat; oder</w:t>
      </w:r>
    </w:p>
    <w:p w14:paraId="654FCEE4" w14:textId="7B7E7CAC" w:rsidR="002800E3" w:rsidRPr="00AD1EE2" w:rsidRDefault="002800E3" w:rsidP="00B97D72">
      <w:pPr>
        <w:spacing w:line="259" w:lineRule="auto"/>
        <w:ind w:left="1418"/>
        <w:jc w:val="both"/>
        <w:rPr>
          <w:sz w:val="22"/>
          <w:szCs w:val="22"/>
        </w:rPr>
      </w:pPr>
      <w:r>
        <w:rPr>
          <w:sz w:val="22"/>
        </w:rPr>
        <w:t>iii) ein Mitglied der Hauptgeschäftsleitung der Gesellschaft oder ihrer Muttergesellschaft ist</w:t>
      </w:r>
    </w:p>
    <w:p w14:paraId="360E9BB6" w14:textId="77777777" w:rsidR="00B97D72" w:rsidRDefault="00B97D72" w:rsidP="00B97D72">
      <w:pPr>
        <w:spacing w:line="259" w:lineRule="auto"/>
        <w:ind w:left="993" w:hanging="284"/>
        <w:jc w:val="both"/>
        <w:rPr>
          <w:b/>
          <w:bCs/>
          <w:sz w:val="22"/>
          <w:szCs w:val="22"/>
        </w:rPr>
      </w:pPr>
    </w:p>
    <w:p w14:paraId="41C0F15F" w14:textId="4FDB95CC" w:rsidR="002800E3" w:rsidRPr="00B97D72" w:rsidRDefault="002800E3" w:rsidP="00B97D72">
      <w:pPr>
        <w:spacing w:line="259" w:lineRule="auto"/>
        <w:ind w:left="709"/>
        <w:jc w:val="both"/>
        <w:rPr>
          <w:sz w:val="22"/>
          <w:szCs w:val="22"/>
        </w:rPr>
      </w:pPr>
      <w:r>
        <w:rPr>
          <w:b/>
          <w:sz w:val="22"/>
        </w:rPr>
        <w:t xml:space="preserve">b) </w:t>
      </w:r>
      <w:r>
        <w:rPr>
          <w:sz w:val="22"/>
        </w:rPr>
        <w:t>Die Gesellschaft ist mit einer berichtenden Gesellschaft verbunden, wenn eine der folgenden Bedingungen zutrifft:</w:t>
      </w:r>
    </w:p>
    <w:p w14:paraId="21F89C9C" w14:textId="08990FFB" w:rsidR="002800E3" w:rsidRPr="00AD1EE2" w:rsidRDefault="002800E3" w:rsidP="00B97D72">
      <w:pPr>
        <w:spacing w:line="259" w:lineRule="auto"/>
        <w:ind w:left="1418"/>
        <w:jc w:val="both"/>
        <w:rPr>
          <w:sz w:val="22"/>
          <w:szCs w:val="22"/>
        </w:rPr>
      </w:pPr>
      <w:r>
        <w:rPr>
          <w:sz w:val="22"/>
        </w:rPr>
        <w:t>i) Die Gesellschaft und die berichtende Gesellschaft sind Mitglieder desselben Konzerns, ein assoziiertes Unternehmen oder Gemeinschaftsunternehmen eines anderen Unternehmens oder ein Gemeinschaftsunternehmen eines Konzerns</w:t>
      </w:r>
      <w:r w:rsidR="00AF2234">
        <w:rPr>
          <w:sz w:val="22"/>
        </w:rPr>
        <w:t>.</w:t>
      </w:r>
    </w:p>
    <w:p w14:paraId="599CD101" w14:textId="387F5FBA" w:rsidR="002800E3" w:rsidRPr="00AD1EE2" w:rsidRDefault="002800E3" w:rsidP="00B97D72">
      <w:pPr>
        <w:spacing w:line="259" w:lineRule="auto"/>
        <w:ind w:left="1418"/>
        <w:jc w:val="both"/>
        <w:rPr>
          <w:sz w:val="22"/>
          <w:szCs w:val="22"/>
        </w:rPr>
      </w:pPr>
      <w:r>
        <w:rPr>
          <w:sz w:val="22"/>
        </w:rPr>
        <w:t>ii) Beide berichtende Gesellschaften sind Gemeinschaftsunternehmen ein und desselben Dritten.</w:t>
      </w:r>
    </w:p>
    <w:p w14:paraId="700B0660" w14:textId="4B59F01E" w:rsidR="002800E3" w:rsidRPr="00AD1EE2" w:rsidRDefault="002800E3" w:rsidP="00B97D72">
      <w:pPr>
        <w:spacing w:line="259" w:lineRule="auto"/>
        <w:ind w:left="1418"/>
        <w:jc w:val="both"/>
        <w:rPr>
          <w:sz w:val="22"/>
          <w:szCs w:val="22"/>
        </w:rPr>
      </w:pPr>
      <w:r>
        <w:rPr>
          <w:sz w:val="22"/>
        </w:rPr>
        <w:t>iii)  Eine berichtende Gesellschaft ist ein Gemeinschaftsunternehmen eines dritten Unternehmens und die zweite berichtende Gesellschaft ist ein assoziiertes Unternehmen des dritten Unternehmens.</w:t>
      </w:r>
    </w:p>
    <w:p w14:paraId="72008A1B" w14:textId="22EEF0DC" w:rsidR="002800E3" w:rsidRPr="00AD1EE2" w:rsidRDefault="002800E3" w:rsidP="00B97D72">
      <w:pPr>
        <w:spacing w:line="259" w:lineRule="auto"/>
        <w:ind w:left="1418"/>
        <w:jc w:val="both"/>
        <w:rPr>
          <w:sz w:val="22"/>
          <w:szCs w:val="22"/>
        </w:rPr>
      </w:pPr>
      <w:r>
        <w:rPr>
          <w:sz w:val="22"/>
        </w:rPr>
        <w:t>iv) Die berichtende Gesellschaft wird von einer unter a) genannten Person beherrscht oder gemeinschaftlich beherrscht, oder eine solche Person übt wesentlichen Einfluss auf die berichtende Gesellschaft aus oder ist Mitglied der Hauptgeschäftsführung der Gesellschaft.</w:t>
      </w:r>
    </w:p>
    <w:p w14:paraId="2B2C9832" w14:textId="77777777" w:rsidR="00B97D72" w:rsidRDefault="00B97D72" w:rsidP="00B97D72">
      <w:pPr>
        <w:spacing w:line="259" w:lineRule="auto"/>
        <w:jc w:val="both"/>
        <w:rPr>
          <w:sz w:val="22"/>
          <w:szCs w:val="22"/>
        </w:rPr>
      </w:pPr>
    </w:p>
    <w:p w14:paraId="19BF2A1E" w14:textId="7306B68B" w:rsidR="002800E3" w:rsidRDefault="00B97D72" w:rsidP="00B97D72">
      <w:pPr>
        <w:spacing w:line="259" w:lineRule="auto"/>
        <w:jc w:val="both"/>
      </w:pPr>
      <w:r>
        <w:rPr>
          <w:noProof/>
        </w:rPr>
        <w:drawing>
          <wp:anchor distT="0" distB="0" distL="114300" distR="114300" simplePos="0" relativeHeight="251677696" behindDoc="1" locked="0" layoutInCell="1" allowOverlap="1" wp14:anchorId="2EFEB324" wp14:editId="60270FA8">
            <wp:simplePos x="0" y="0"/>
            <wp:positionH relativeFrom="margin">
              <wp:posOffset>4710989</wp:posOffset>
            </wp:positionH>
            <wp:positionV relativeFrom="page">
              <wp:posOffset>9671863</wp:posOffset>
            </wp:positionV>
            <wp:extent cx="917575" cy="923290"/>
            <wp:effectExtent l="0" t="0" r="0" b="0"/>
            <wp:wrapNone/>
            <wp:docPr id="21"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rPr>
          <w:sz w:val="22"/>
        </w:rPr>
        <w:t>Bedeutende Transaktionen, Salden und Preisbildungsmethoden für Transaktionen mit verbundenen Unternehmen sind in den Tabellen Beziehungen zu verbundenen Unternehmen aufgeführt.</w:t>
      </w:r>
      <w:r>
        <w:t xml:space="preserve"> </w:t>
      </w:r>
    </w:p>
    <w:p w14:paraId="6395F2B2" w14:textId="77777777" w:rsidR="00AF2234" w:rsidRPr="00AD1EE2" w:rsidRDefault="00AF2234" w:rsidP="00B97D72">
      <w:pPr>
        <w:spacing w:line="259" w:lineRule="auto"/>
        <w:jc w:val="both"/>
        <w:rPr>
          <w:sz w:val="22"/>
          <w:szCs w:val="22"/>
        </w:rPr>
      </w:pPr>
    </w:p>
    <w:p w14:paraId="55BF8190" w14:textId="5405934C" w:rsidR="002800E3" w:rsidRPr="00AD1EE2" w:rsidRDefault="002800E3" w:rsidP="00442A3E">
      <w:pPr>
        <w:pStyle w:val="Nadpis2"/>
        <w:spacing w:after="120"/>
      </w:pPr>
      <w:bookmarkStart w:id="13" w:name="_Toc167784878"/>
      <w:r>
        <w:t>EREIGNISSE NACH DEM BILANZSTICHTAG</w:t>
      </w:r>
      <w:bookmarkEnd w:id="13"/>
    </w:p>
    <w:p w14:paraId="2EDA41C9" w14:textId="77777777" w:rsidR="002800E3" w:rsidRPr="00AD1EE2" w:rsidRDefault="002800E3" w:rsidP="008C26F6">
      <w:pPr>
        <w:spacing w:line="259" w:lineRule="auto"/>
        <w:jc w:val="both"/>
        <w:rPr>
          <w:sz w:val="22"/>
          <w:szCs w:val="22"/>
        </w:rPr>
      </w:pPr>
      <w:r>
        <w:rPr>
          <w:sz w:val="22"/>
        </w:rPr>
        <w:t>Die Auswirkungen von Ereignissen, die zwischen dem Bilanzstichtag und dem Tag der Aufstellung des Jahresabschlusses eingetreten sind, werden im Jahresabschluss erfasst, sofern diese Ereignisse ergänzende Nachweise über Bedingungen liefern, die zum Bilanzstichtag bestanden.</w:t>
      </w:r>
    </w:p>
    <w:p w14:paraId="52A1B641" w14:textId="77777777" w:rsidR="00442A3E" w:rsidRDefault="00442A3E" w:rsidP="008C26F6">
      <w:pPr>
        <w:spacing w:line="259" w:lineRule="auto"/>
        <w:jc w:val="both"/>
        <w:rPr>
          <w:sz w:val="22"/>
          <w:szCs w:val="22"/>
        </w:rPr>
      </w:pPr>
    </w:p>
    <w:p w14:paraId="061A9902" w14:textId="74F0BD79" w:rsidR="002800E3" w:rsidRPr="00AD1EE2" w:rsidRDefault="002800E3" w:rsidP="008C26F6">
      <w:pPr>
        <w:spacing w:line="259" w:lineRule="auto"/>
        <w:jc w:val="both"/>
        <w:rPr>
          <w:sz w:val="22"/>
          <w:szCs w:val="22"/>
        </w:rPr>
      </w:pPr>
      <w:r>
        <w:rPr>
          <w:sz w:val="22"/>
        </w:rPr>
        <w:t>Falls zwischen dem Bilanzstichtag und dem Tag der Aufstellung des Jahresabschlusses wesentliche Ereignisse, die Bedingungen nach dem Bilanzstichtag berücksichtigen, eingetreten sind, werden die Auswirkungen dieser Ereignisse im Anhang beschrieben, nicht jedoch im Jahresabschluss erfasst.</w:t>
      </w:r>
    </w:p>
    <w:p w14:paraId="456CA529" w14:textId="20ADD2D5" w:rsidR="002800E3" w:rsidRPr="00AD1EE2" w:rsidRDefault="002800E3" w:rsidP="008C26F6">
      <w:pPr>
        <w:pStyle w:val="Nadpis1"/>
        <w:spacing w:before="240" w:after="240"/>
      </w:pPr>
      <w:bookmarkStart w:id="14" w:name="_Toc167784879"/>
      <w:r>
        <w:t>ZAHLENANGABEN FÜR DIE POSTEN DER BILANZ UND DER GEWINN- UND VERLUSTRECHNUNG</w:t>
      </w:r>
      <w:bookmarkEnd w:id="14"/>
    </w:p>
    <w:p w14:paraId="74090203" w14:textId="77777777" w:rsidR="002800E3" w:rsidRPr="008C26F6" w:rsidRDefault="002800E3" w:rsidP="00B97D72">
      <w:pPr>
        <w:spacing w:line="259" w:lineRule="auto"/>
        <w:rPr>
          <w:b/>
          <w:bCs/>
          <w:sz w:val="22"/>
          <w:szCs w:val="22"/>
        </w:rPr>
      </w:pPr>
      <w:r>
        <w:rPr>
          <w:b/>
          <w:sz w:val="22"/>
        </w:rPr>
        <w:t>Anmerkung</w:t>
      </w:r>
    </w:p>
    <w:p w14:paraId="7825D08F" w14:textId="77777777" w:rsidR="008C26F6" w:rsidRDefault="008C26F6" w:rsidP="00B97D72">
      <w:pPr>
        <w:spacing w:line="259" w:lineRule="auto"/>
        <w:rPr>
          <w:sz w:val="22"/>
          <w:szCs w:val="22"/>
        </w:rPr>
      </w:pPr>
    </w:p>
    <w:p w14:paraId="189F316A" w14:textId="0A8C8EC7" w:rsidR="002800E3" w:rsidRDefault="002800E3" w:rsidP="008C26F6">
      <w:pPr>
        <w:spacing w:after="200" w:line="259" w:lineRule="auto"/>
        <w:jc w:val="both"/>
        <w:rPr>
          <w:sz w:val="22"/>
        </w:rPr>
      </w:pPr>
      <w:r>
        <w:rPr>
          <w:sz w:val="22"/>
        </w:rPr>
        <w:t>Die in den nachstehenden Tabellen nicht bezifferten Posten wiesen keine Bewegungen oder Salden auf.</w:t>
      </w:r>
    </w:p>
    <w:p w14:paraId="4D4E2249" w14:textId="1CB3F017" w:rsidR="00AF2234" w:rsidRDefault="00AF2234" w:rsidP="008C26F6">
      <w:pPr>
        <w:spacing w:after="200" w:line="259" w:lineRule="auto"/>
        <w:jc w:val="both"/>
        <w:rPr>
          <w:sz w:val="22"/>
        </w:rPr>
      </w:pPr>
    </w:p>
    <w:p w14:paraId="3E0E6EA2" w14:textId="3DBE03E0" w:rsidR="00AF2234" w:rsidRDefault="00AF2234" w:rsidP="008C26F6">
      <w:pPr>
        <w:spacing w:after="200" w:line="259" w:lineRule="auto"/>
        <w:jc w:val="both"/>
        <w:rPr>
          <w:sz w:val="22"/>
        </w:rPr>
      </w:pPr>
    </w:p>
    <w:p w14:paraId="3DA78BCE" w14:textId="77777777" w:rsidR="00AF2234" w:rsidRPr="00AD1EE2" w:rsidRDefault="00AF2234" w:rsidP="008C26F6">
      <w:pPr>
        <w:spacing w:after="200" w:line="259" w:lineRule="auto"/>
        <w:jc w:val="both"/>
        <w:rPr>
          <w:sz w:val="22"/>
          <w:szCs w:val="22"/>
        </w:rPr>
      </w:pPr>
    </w:p>
    <w:p w14:paraId="2E3780F5" w14:textId="77E340E1" w:rsidR="002800E3" w:rsidRPr="00AD1EE2" w:rsidRDefault="002800E3" w:rsidP="008C26F6">
      <w:pPr>
        <w:pStyle w:val="Nadpis2"/>
        <w:spacing w:after="120"/>
      </w:pPr>
      <w:bookmarkStart w:id="15" w:name="_Toc167784880"/>
      <w:r>
        <w:lastRenderedPageBreak/>
        <w:t>SONSTIGE AKTIVA</w:t>
      </w:r>
      <w:bookmarkEnd w:id="15"/>
    </w:p>
    <w:tbl>
      <w:tblPr>
        <w:tblStyle w:val="Mkatabulky"/>
        <w:tblW w:w="9751"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5329"/>
        <w:gridCol w:w="2211"/>
        <w:gridCol w:w="2211"/>
      </w:tblGrid>
      <w:tr w:rsidR="008C26F6" w:rsidRPr="008C26F6" w14:paraId="0959CA96" w14:textId="77777777" w:rsidTr="008C26F6">
        <w:trPr>
          <w:trHeight w:val="454"/>
        </w:trPr>
        <w:tc>
          <w:tcPr>
            <w:tcW w:w="5329" w:type="dxa"/>
            <w:tcBorders>
              <w:bottom w:val="single" w:sz="18" w:space="0" w:color="57CFFD"/>
            </w:tcBorders>
          </w:tcPr>
          <w:p w14:paraId="6C23FD6B" w14:textId="77777777" w:rsidR="008C26F6" w:rsidRPr="008C26F6" w:rsidRDefault="008C26F6" w:rsidP="007771DD">
            <w:pPr>
              <w:spacing w:line="259" w:lineRule="auto"/>
              <w:rPr>
                <w:b/>
                <w:bCs/>
                <w:sz w:val="18"/>
                <w:szCs w:val="18"/>
              </w:rPr>
            </w:pPr>
            <w:r>
              <w:rPr>
                <w:b/>
                <w:sz w:val="18"/>
              </w:rPr>
              <w:t>Tsd. CZK</w:t>
            </w:r>
          </w:p>
        </w:tc>
        <w:tc>
          <w:tcPr>
            <w:tcW w:w="2211" w:type="dxa"/>
            <w:tcBorders>
              <w:bottom w:val="single" w:sz="18" w:space="0" w:color="57CFFD"/>
            </w:tcBorders>
          </w:tcPr>
          <w:p w14:paraId="3BBDD29B" w14:textId="77777777" w:rsidR="008C26F6" w:rsidRPr="008C26F6" w:rsidRDefault="008C26F6" w:rsidP="008C26F6">
            <w:pPr>
              <w:spacing w:line="259" w:lineRule="auto"/>
              <w:jc w:val="right"/>
              <w:rPr>
                <w:b/>
                <w:bCs/>
                <w:sz w:val="18"/>
                <w:szCs w:val="18"/>
              </w:rPr>
            </w:pPr>
            <w:r>
              <w:rPr>
                <w:b/>
                <w:sz w:val="18"/>
              </w:rPr>
              <w:t>31. Dezember 2023</w:t>
            </w:r>
          </w:p>
        </w:tc>
        <w:tc>
          <w:tcPr>
            <w:tcW w:w="2211" w:type="dxa"/>
            <w:tcBorders>
              <w:bottom w:val="single" w:sz="18" w:space="0" w:color="57CFFD"/>
            </w:tcBorders>
          </w:tcPr>
          <w:p w14:paraId="7C454AF6" w14:textId="77777777" w:rsidR="008C26F6" w:rsidRPr="008C26F6" w:rsidRDefault="008C26F6" w:rsidP="008C26F6">
            <w:pPr>
              <w:spacing w:line="259" w:lineRule="auto"/>
              <w:jc w:val="right"/>
              <w:rPr>
                <w:b/>
                <w:bCs/>
                <w:sz w:val="18"/>
                <w:szCs w:val="18"/>
              </w:rPr>
            </w:pPr>
            <w:r>
              <w:rPr>
                <w:b/>
                <w:sz w:val="18"/>
              </w:rPr>
              <w:t>31. Dezember 2022</w:t>
            </w:r>
          </w:p>
        </w:tc>
      </w:tr>
      <w:tr w:rsidR="008C26F6" w:rsidRPr="008C26F6" w14:paraId="1EE1BE8B" w14:textId="77777777" w:rsidTr="008C26F6">
        <w:trPr>
          <w:trHeight w:val="295"/>
        </w:trPr>
        <w:tc>
          <w:tcPr>
            <w:tcW w:w="5329" w:type="dxa"/>
            <w:tcBorders>
              <w:top w:val="single" w:sz="18" w:space="0" w:color="57CFFD"/>
            </w:tcBorders>
          </w:tcPr>
          <w:p w14:paraId="54BDA2D9" w14:textId="77777777" w:rsidR="008C26F6" w:rsidRPr="008C26F6" w:rsidRDefault="008C26F6" w:rsidP="007771DD">
            <w:pPr>
              <w:spacing w:line="259" w:lineRule="auto"/>
              <w:rPr>
                <w:b/>
                <w:bCs/>
                <w:sz w:val="18"/>
                <w:szCs w:val="18"/>
              </w:rPr>
            </w:pPr>
          </w:p>
        </w:tc>
        <w:tc>
          <w:tcPr>
            <w:tcW w:w="2211" w:type="dxa"/>
            <w:tcBorders>
              <w:top w:val="single" w:sz="18" w:space="0" w:color="57CFFD"/>
            </w:tcBorders>
          </w:tcPr>
          <w:p w14:paraId="0A1D4E2E" w14:textId="77777777" w:rsidR="008C26F6" w:rsidRPr="008C26F6" w:rsidRDefault="008C26F6" w:rsidP="008C26F6">
            <w:pPr>
              <w:spacing w:line="259" w:lineRule="auto"/>
              <w:jc w:val="right"/>
              <w:rPr>
                <w:sz w:val="18"/>
                <w:szCs w:val="18"/>
              </w:rPr>
            </w:pPr>
            <w:r>
              <w:rPr>
                <w:sz w:val="18"/>
              </w:rPr>
              <w:t>Summe</w:t>
            </w:r>
          </w:p>
        </w:tc>
        <w:tc>
          <w:tcPr>
            <w:tcW w:w="2211" w:type="dxa"/>
            <w:tcBorders>
              <w:top w:val="single" w:sz="18" w:space="0" w:color="57CFFD"/>
            </w:tcBorders>
          </w:tcPr>
          <w:p w14:paraId="214CEB0B" w14:textId="77777777" w:rsidR="008C26F6" w:rsidRPr="008C26F6" w:rsidRDefault="008C26F6" w:rsidP="008C26F6">
            <w:pPr>
              <w:spacing w:line="259" w:lineRule="auto"/>
              <w:jc w:val="right"/>
              <w:rPr>
                <w:sz w:val="18"/>
                <w:szCs w:val="18"/>
              </w:rPr>
            </w:pPr>
            <w:r>
              <w:rPr>
                <w:sz w:val="18"/>
              </w:rPr>
              <w:t>Summe</w:t>
            </w:r>
          </w:p>
        </w:tc>
      </w:tr>
      <w:tr w:rsidR="008C26F6" w:rsidRPr="008C26F6" w14:paraId="6458BD5F" w14:textId="77777777" w:rsidTr="008C26F6">
        <w:trPr>
          <w:trHeight w:val="482"/>
        </w:trPr>
        <w:tc>
          <w:tcPr>
            <w:tcW w:w="5329" w:type="dxa"/>
          </w:tcPr>
          <w:p w14:paraId="5557A127" w14:textId="77777777" w:rsidR="008C26F6" w:rsidRPr="008C26F6" w:rsidRDefault="008C26F6" w:rsidP="007771DD">
            <w:pPr>
              <w:spacing w:line="259" w:lineRule="auto"/>
              <w:rPr>
                <w:b/>
                <w:bCs/>
                <w:sz w:val="18"/>
                <w:szCs w:val="18"/>
              </w:rPr>
            </w:pPr>
            <w:r>
              <w:rPr>
                <w:b/>
                <w:sz w:val="18"/>
              </w:rPr>
              <w:t>Sonstige Aktiva</w:t>
            </w:r>
          </w:p>
        </w:tc>
        <w:tc>
          <w:tcPr>
            <w:tcW w:w="2211" w:type="dxa"/>
          </w:tcPr>
          <w:p w14:paraId="1DCE3A06" w14:textId="77777777" w:rsidR="008C26F6" w:rsidRPr="008C26F6" w:rsidRDefault="008C26F6" w:rsidP="008C26F6">
            <w:pPr>
              <w:spacing w:line="259" w:lineRule="auto"/>
              <w:jc w:val="right"/>
              <w:rPr>
                <w:sz w:val="18"/>
                <w:szCs w:val="18"/>
              </w:rPr>
            </w:pPr>
            <w:r>
              <w:rPr>
                <w:sz w:val="18"/>
              </w:rPr>
              <w:t>0</w:t>
            </w:r>
          </w:p>
        </w:tc>
        <w:tc>
          <w:tcPr>
            <w:tcW w:w="2211" w:type="dxa"/>
          </w:tcPr>
          <w:p w14:paraId="0B94BE64" w14:textId="77777777" w:rsidR="008C26F6" w:rsidRPr="008C26F6" w:rsidRDefault="008C26F6" w:rsidP="008C26F6">
            <w:pPr>
              <w:spacing w:line="259" w:lineRule="auto"/>
              <w:jc w:val="right"/>
              <w:rPr>
                <w:sz w:val="18"/>
                <w:szCs w:val="18"/>
              </w:rPr>
            </w:pPr>
            <w:r>
              <w:rPr>
                <w:sz w:val="18"/>
              </w:rPr>
              <w:t>0</w:t>
            </w:r>
          </w:p>
        </w:tc>
      </w:tr>
      <w:tr w:rsidR="008C26F6" w:rsidRPr="008C26F6" w14:paraId="4C1B9625" w14:textId="77777777" w:rsidTr="008C26F6">
        <w:trPr>
          <w:trHeight w:val="283"/>
        </w:trPr>
        <w:tc>
          <w:tcPr>
            <w:tcW w:w="5329" w:type="dxa"/>
          </w:tcPr>
          <w:p w14:paraId="3B65C472" w14:textId="77777777" w:rsidR="008C26F6" w:rsidRPr="008C26F6" w:rsidRDefault="008C26F6" w:rsidP="007771DD">
            <w:pPr>
              <w:spacing w:line="259" w:lineRule="auto"/>
              <w:rPr>
                <w:b/>
                <w:bCs/>
                <w:sz w:val="18"/>
                <w:szCs w:val="18"/>
              </w:rPr>
            </w:pPr>
            <w:r>
              <w:rPr>
                <w:b/>
                <w:sz w:val="18"/>
              </w:rPr>
              <w:t>Summe</w:t>
            </w:r>
          </w:p>
        </w:tc>
        <w:tc>
          <w:tcPr>
            <w:tcW w:w="2211" w:type="dxa"/>
          </w:tcPr>
          <w:p w14:paraId="4A2E2893" w14:textId="77777777" w:rsidR="008C26F6" w:rsidRPr="008C26F6" w:rsidRDefault="008C26F6" w:rsidP="008C26F6">
            <w:pPr>
              <w:spacing w:line="259" w:lineRule="auto"/>
              <w:jc w:val="right"/>
              <w:rPr>
                <w:b/>
                <w:bCs/>
                <w:sz w:val="18"/>
                <w:szCs w:val="18"/>
              </w:rPr>
            </w:pPr>
            <w:r>
              <w:rPr>
                <w:b/>
                <w:sz w:val="18"/>
              </w:rPr>
              <w:t>0</w:t>
            </w:r>
          </w:p>
        </w:tc>
        <w:tc>
          <w:tcPr>
            <w:tcW w:w="2211" w:type="dxa"/>
          </w:tcPr>
          <w:p w14:paraId="67D75D1A" w14:textId="77777777" w:rsidR="008C26F6" w:rsidRPr="008C26F6" w:rsidRDefault="008C26F6" w:rsidP="008C26F6">
            <w:pPr>
              <w:spacing w:line="259" w:lineRule="auto"/>
              <w:jc w:val="right"/>
              <w:rPr>
                <w:b/>
                <w:bCs/>
                <w:sz w:val="18"/>
                <w:szCs w:val="18"/>
              </w:rPr>
            </w:pPr>
            <w:r>
              <w:rPr>
                <w:b/>
                <w:sz w:val="18"/>
              </w:rPr>
              <w:t>0</w:t>
            </w:r>
          </w:p>
        </w:tc>
      </w:tr>
    </w:tbl>
    <w:p w14:paraId="366432E1" w14:textId="36456DD5" w:rsidR="002800E3" w:rsidRPr="00AD1EE2" w:rsidRDefault="008C26F6" w:rsidP="008C26F6">
      <w:pPr>
        <w:spacing w:before="320" w:after="120" w:line="259" w:lineRule="auto"/>
        <w:rPr>
          <w:sz w:val="22"/>
          <w:szCs w:val="22"/>
        </w:rPr>
      </w:pPr>
      <w:r>
        <w:rPr>
          <w:sz w:val="22"/>
        </w:rPr>
        <w:t>Die sonstigen Aktiva bestehen aus sonstigen betrieblichen Forderungen in Höhe von 60,- CZK (31.</w:t>
      </w:r>
      <w:r w:rsidR="00AF2234">
        <w:rPr>
          <w:sz w:val="22"/>
        </w:rPr>
        <w:t> </w:t>
      </w:r>
      <w:r>
        <w:rPr>
          <w:sz w:val="22"/>
        </w:rPr>
        <w:t>Dezember 2022: 60,- CZK).</w:t>
      </w:r>
    </w:p>
    <w:p w14:paraId="7B12F786" w14:textId="77777777" w:rsidR="008C26F6" w:rsidRDefault="008C26F6" w:rsidP="00B97D72">
      <w:pPr>
        <w:spacing w:line="259" w:lineRule="auto"/>
        <w:rPr>
          <w:sz w:val="22"/>
          <w:szCs w:val="22"/>
        </w:rPr>
      </w:pPr>
    </w:p>
    <w:p w14:paraId="3D00B0CA" w14:textId="6AA464E5" w:rsidR="002800E3" w:rsidRPr="00AD1EE2" w:rsidRDefault="008C26F6" w:rsidP="008C26F6">
      <w:pPr>
        <w:pStyle w:val="Nadpis2"/>
        <w:spacing w:after="120"/>
      </w:pPr>
      <w:bookmarkStart w:id="16" w:name="_Toc167784881"/>
      <w:r>
        <w:t>GRUNDKAPITAL</w:t>
      </w:r>
      <w:bookmarkEnd w:id="16"/>
    </w:p>
    <w:tbl>
      <w:tblPr>
        <w:tblStyle w:val="Mkatabulky"/>
        <w:tblW w:w="9751"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2636"/>
        <w:gridCol w:w="2721"/>
        <w:gridCol w:w="2211"/>
        <w:gridCol w:w="2183"/>
      </w:tblGrid>
      <w:tr w:rsidR="008C26F6" w:rsidRPr="008C26F6" w14:paraId="4CC2E179" w14:textId="77777777" w:rsidTr="005807B3">
        <w:trPr>
          <w:trHeight w:val="425"/>
        </w:trPr>
        <w:tc>
          <w:tcPr>
            <w:tcW w:w="2636" w:type="dxa"/>
            <w:tcBorders>
              <w:bottom w:val="single" w:sz="18" w:space="0" w:color="57CFFD"/>
            </w:tcBorders>
          </w:tcPr>
          <w:p w14:paraId="42D89F2D" w14:textId="77777777" w:rsidR="008C26F6" w:rsidRPr="005807B3" w:rsidRDefault="008C26F6" w:rsidP="00C870F5">
            <w:pPr>
              <w:spacing w:line="259" w:lineRule="auto"/>
              <w:rPr>
                <w:b/>
                <w:bCs/>
                <w:sz w:val="18"/>
                <w:szCs w:val="18"/>
              </w:rPr>
            </w:pPr>
            <w:r>
              <w:rPr>
                <w:b/>
                <w:sz w:val="18"/>
              </w:rPr>
              <w:t>Tsd. CZK</w:t>
            </w:r>
          </w:p>
        </w:tc>
        <w:tc>
          <w:tcPr>
            <w:tcW w:w="2721" w:type="dxa"/>
            <w:tcBorders>
              <w:bottom w:val="single" w:sz="18" w:space="0" w:color="57CFFD"/>
            </w:tcBorders>
          </w:tcPr>
          <w:p w14:paraId="0B5F4E9A" w14:textId="77777777" w:rsidR="008C26F6" w:rsidRPr="005807B3" w:rsidRDefault="008C26F6" w:rsidP="00C870F5">
            <w:pPr>
              <w:spacing w:line="259" w:lineRule="auto"/>
              <w:rPr>
                <w:b/>
                <w:bCs/>
                <w:sz w:val="18"/>
                <w:szCs w:val="18"/>
              </w:rPr>
            </w:pPr>
          </w:p>
        </w:tc>
        <w:tc>
          <w:tcPr>
            <w:tcW w:w="2211" w:type="dxa"/>
            <w:tcBorders>
              <w:bottom w:val="single" w:sz="18" w:space="0" w:color="57CFFD"/>
            </w:tcBorders>
          </w:tcPr>
          <w:p w14:paraId="625727D6" w14:textId="77777777" w:rsidR="008C26F6" w:rsidRPr="005807B3" w:rsidRDefault="008C26F6" w:rsidP="005807B3">
            <w:pPr>
              <w:spacing w:line="259" w:lineRule="auto"/>
              <w:jc w:val="right"/>
              <w:rPr>
                <w:b/>
                <w:bCs/>
                <w:sz w:val="18"/>
                <w:szCs w:val="18"/>
              </w:rPr>
            </w:pPr>
            <w:r>
              <w:rPr>
                <w:b/>
                <w:sz w:val="18"/>
              </w:rPr>
              <w:t>31. Dezember 2023</w:t>
            </w:r>
          </w:p>
        </w:tc>
        <w:tc>
          <w:tcPr>
            <w:tcW w:w="2183" w:type="dxa"/>
            <w:tcBorders>
              <w:bottom w:val="single" w:sz="18" w:space="0" w:color="57CFFD"/>
            </w:tcBorders>
          </w:tcPr>
          <w:p w14:paraId="44A017EE" w14:textId="77777777" w:rsidR="008C26F6" w:rsidRPr="005807B3" w:rsidRDefault="008C26F6" w:rsidP="005807B3">
            <w:pPr>
              <w:spacing w:line="259" w:lineRule="auto"/>
              <w:jc w:val="right"/>
              <w:rPr>
                <w:b/>
                <w:bCs/>
                <w:sz w:val="18"/>
                <w:szCs w:val="18"/>
              </w:rPr>
            </w:pPr>
            <w:r>
              <w:rPr>
                <w:b/>
                <w:sz w:val="18"/>
              </w:rPr>
              <w:t>31. Dezember 2022</w:t>
            </w:r>
          </w:p>
        </w:tc>
      </w:tr>
      <w:tr w:rsidR="008C26F6" w:rsidRPr="008C26F6" w14:paraId="6D39A35B" w14:textId="77777777" w:rsidTr="005807B3">
        <w:trPr>
          <w:trHeight w:val="295"/>
        </w:trPr>
        <w:tc>
          <w:tcPr>
            <w:tcW w:w="2636" w:type="dxa"/>
            <w:tcBorders>
              <w:top w:val="single" w:sz="18" w:space="0" w:color="57CFFD"/>
            </w:tcBorders>
          </w:tcPr>
          <w:p w14:paraId="6B50BAE4" w14:textId="77777777" w:rsidR="008C26F6" w:rsidRPr="005807B3" w:rsidRDefault="008C26F6" w:rsidP="00C870F5">
            <w:pPr>
              <w:spacing w:line="259" w:lineRule="auto"/>
              <w:rPr>
                <w:b/>
                <w:bCs/>
                <w:i/>
                <w:iCs/>
                <w:sz w:val="18"/>
                <w:szCs w:val="18"/>
              </w:rPr>
            </w:pPr>
            <w:r>
              <w:rPr>
                <w:b/>
                <w:i/>
                <w:sz w:val="18"/>
              </w:rPr>
              <w:t>(Verbriefte Namensaktien)</w:t>
            </w:r>
          </w:p>
        </w:tc>
        <w:tc>
          <w:tcPr>
            <w:tcW w:w="2721" w:type="dxa"/>
            <w:tcBorders>
              <w:top w:val="single" w:sz="18" w:space="0" w:color="57CFFD"/>
            </w:tcBorders>
          </w:tcPr>
          <w:p w14:paraId="131EB82A" w14:textId="77777777" w:rsidR="008C26F6" w:rsidRPr="005807B3" w:rsidRDefault="008C26F6" w:rsidP="005807B3">
            <w:pPr>
              <w:spacing w:line="259" w:lineRule="auto"/>
              <w:jc w:val="center"/>
              <w:rPr>
                <w:b/>
                <w:bCs/>
                <w:sz w:val="18"/>
                <w:szCs w:val="18"/>
              </w:rPr>
            </w:pPr>
            <w:proofErr w:type="spellStart"/>
            <w:r>
              <w:rPr>
                <w:b/>
                <w:sz w:val="18"/>
              </w:rPr>
              <w:t>Stk</w:t>
            </w:r>
            <w:proofErr w:type="spellEnd"/>
            <w:r>
              <w:rPr>
                <w:b/>
                <w:sz w:val="18"/>
              </w:rPr>
              <w:t>.</w:t>
            </w:r>
          </w:p>
        </w:tc>
        <w:tc>
          <w:tcPr>
            <w:tcW w:w="2211" w:type="dxa"/>
            <w:tcBorders>
              <w:top w:val="single" w:sz="18" w:space="0" w:color="57CFFD"/>
            </w:tcBorders>
          </w:tcPr>
          <w:p w14:paraId="1C8BD623" w14:textId="77777777" w:rsidR="008C26F6" w:rsidRPr="005807B3" w:rsidRDefault="008C26F6" w:rsidP="005807B3">
            <w:pPr>
              <w:spacing w:line="259" w:lineRule="auto"/>
              <w:jc w:val="right"/>
              <w:rPr>
                <w:sz w:val="18"/>
                <w:szCs w:val="18"/>
              </w:rPr>
            </w:pPr>
            <w:r>
              <w:rPr>
                <w:sz w:val="18"/>
              </w:rPr>
              <w:t>Summe</w:t>
            </w:r>
          </w:p>
        </w:tc>
        <w:tc>
          <w:tcPr>
            <w:tcW w:w="2183" w:type="dxa"/>
            <w:tcBorders>
              <w:top w:val="single" w:sz="18" w:space="0" w:color="57CFFD"/>
            </w:tcBorders>
          </w:tcPr>
          <w:p w14:paraId="3BA2BD01" w14:textId="77777777" w:rsidR="008C26F6" w:rsidRPr="005807B3" w:rsidRDefault="008C26F6" w:rsidP="005807B3">
            <w:pPr>
              <w:spacing w:line="259" w:lineRule="auto"/>
              <w:jc w:val="right"/>
              <w:rPr>
                <w:sz w:val="18"/>
                <w:szCs w:val="18"/>
              </w:rPr>
            </w:pPr>
            <w:r>
              <w:rPr>
                <w:sz w:val="18"/>
              </w:rPr>
              <w:t>Summe</w:t>
            </w:r>
          </w:p>
        </w:tc>
      </w:tr>
      <w:tr w:rsidR="008C26F6" w:rsidRPr="008C26F6" w14:paraId="7A2F6771" w14:textId="77777777" w:rsidTr="005807B3">
        <w:trPr>
          <w:trHeight w:val="295"/>
        </w:trPr>
        <w:tc>
          <w:tcPr>
            <w:tcW w:w="2636" w:type="dxa"/>
          </w:tcPr>
          <w:p w14:paraId="573CCBA6" w14:textId="77777777" w:rsidR="008C26F6" w:rsidRPr="005807B3" w:rsidRDefault="008C26F6" w:rsidP="00C870F5">
            <w:pPr>
              <w:spacing w:line="259" w:lineRule="auto"/>
              <w:rPr>
                <w:b/>
                <w:bCs/>
                <w:sz w:val="18"/>
                <w:szCs w:val="18"/>
              </w:rPr>
            </w:pPr>
            <w:r>
              <w:rPr>
                <w:b/>
                <w:sz w:val="18"/>
              </w:rPr>
              <w:t>Gründeraktien</w:t>
            </w:r>
          </w:p>
        </w:tc>
        <w:tc>
          <w:tcPr>
            <w:tcW w:w="2721" w:type="dxa"/>
          </w:tcPr>
          <w:p w14:paraId="525D873B" w14:textId="77777777" w:rsidR="008C26F6" w:rsidRPr="005807B3" w:rsidRDefault="008C26F6" w:rsidP="005807B3">
            <w:pPr>
              <w:spacing w:line="259" w:lineRule="auto"/>
              <w:jc w:val="center"/>
              <w:rPr>
                <w:sz w:val="18"/>
                <w:szCs w:val="18"/>
              </w:rPr>
            </w:pPr>
            <w:r>
              <w:rPr>
                <w:sz w:val="18"/>
              </w:rPr>
              <w:t>60</w:t>
            </w:r>
          </w:p>
        </w:tc>
        <w:tc>
          <w:tcPr>
            <w:tcW w:w="2211" w:type="dxa"/>
          </w:tcPr>
          <w:p w14:paraId="6919B9CC" w14:textId="77777777" w:rsidR="008C26F6" w:rsidRPr="005807B3" w:rsidRDefault="008C26F6" w:rsidP="005807B3">
            <w:pPr>
              <w:spacing w:line="259" w:lineRule="auto"/>
              <w:jc w:val="right"/>
              <w:rPr>
                <w:sz w:val="18"/>
                <w:szCs w:val="18"/>
              </w:rPr>
            </w:pPr>
            <w:r>
              <w:rPr>
                <w:sz w:val="18"/>
              </w:rPr>
              <w:t>0*</w:t>
            </w:r>
          </w:p>
        </w:tc>
        <w:tc>
          <w:tcPr>
            <w:tcW w:w="2183" w:type="dxa"/>
          </w:tcPr>
          <w:p w14:paraId="1AF9BF5F" w14:textId="77777777" w:rsidR="008C26F6" w:rsidRPr="005807B3" w:rsidRDefault="008C26F6" w:rsidP="005807B3">
            <w:pPr>
              <w:spacing w:line="259" w:lineRule="auto"/>
              <w:jc w:val="right"/>
              <w:rPr>
                <w:sz w:val="18"/>
                <w:szCs w:val="18"/>
              </w:rPr>
            </w:pPr>
            <w:r>
              <w:rPr>
                <w:sz w:val="18"/>
              </w:rPr>
              <w:t>0</w:t>
            </w:r>
          </w:p>
        </w:tc>
      </w:tr>
      <w:tr w:rsidR="008C26F6" w:rsidRPr="008C26F6" w14:paraId="196D3EF7" w14:textId="77777777" w:rsidTr="005807B3">
        <w:trPr>
          <w:trHeight w:val="397"/>
        </w:trPr>
        <w:tc>
          <w:tcPr>
            <w:tcW w:w="2636" w:type="dxa"/>
          </w:tcPr>
          <w:p w14:paraId="07A04248" w14:textId="77777777" w:rsidR="008C26F6" w:rsidRPr="005807B3" w:rsidRDefault="008C26F6" w:rsidP="00C870F5">
            <w:pPr>
              <w:spacing w:line="259" w:lineRule="auto"/>
              <w:rPr>
                <w:b/>
                <w:bCs/>
                <w:sz w:val="18"/>
                <w:szCs w:val="18"/>
              </w:rPr>
            </w:pPr>
            <w:r>
              <w:rPr>
                <w:b/>
                <w:sz w:val="18"/>
              </w:rPr>
              <w:t>Summe</w:t>
            </w:r>
          </w:p>
        </w:tc>
        <w:tc>
          <w:tcPr>
            <w:tcW w:w="2721" w:type="dxa"/>
          </w:tcPr>
          <w:p w14:paraId="2A1B6ABF" w14:textId="77777777" w:rsidR="008C26F6" w:rsidRPr="005807B3" w:rsidRDefault="008C26F6" w:rsidP="005807B3">
            <w:pPr>
              <w:spacing w:line="259" w:lineRule="auto"/>
              <w:jc w:val="center"/>
              <w:rPr>
                <w:sz w:val="18"/>
                <w:szCs w:val="18"/>
              </w:rPr>
            </w:pPr>
          </w:p>
        </w:tc>
        <w:tc>
          <w:tcPr>
            <w:tcW w:w="2211" w:type="dxa"/>
          </w:tcPr>
          <w:p w14:paraId="78DAE9C4" w14:textId="77777777" w:rsidR="008C26F6" w:rsidRPr="005807B3" w:rsidRDefault="008C26F6" w:rsidP="005807B3">
            <w:pPr>
              <w:spacing w:line="259" w:lineRule="auto"/>
              <w:jc w:val="right"/>
              <w:rPr>
                <w:b/>
                <w:bCs/>
                <w:sz w:val="18"/>
                <w:szCs w:val="18"/>
              </w:rPr>
            </w:pPr>
            <w:r>
              <w:rPr>
                <w:b/>
                <w:sz w:val="18"/>
              </w:rPr>
              <w:t>0</w:t>
            </w:r>
          </w:p>
        </w:tc>
        <w:tc>
          <w:tcPr>
            <w:tcW w:w="2183" w:type="dxa"/>
          </w:tcPr>
          <w:p w14:paraId="0146EFE1" w14:textId="77777777" w:rsidR="008C26F6" w:rsidRPr="005807B3" w:rsidRDefault="008C26F6" w:rsidP="005807B3">
            <w:pPr>
              <w:spacing w:line="259" w:lineRule="auto"/>
              <w:jc w:val="right"/>
              <w:rPr>
                <w:b/>
                <w:bCs/>
                <w:sz w:val="18"/>
                <w:szCs w:val="18"/>
              </w:rPr>
            </w:pPr>
            <w:r>
              <w:rPr>
                <w:b/>
                <w:sz w:val="18"/>
              </w:rPr>
              <w:t>0</w:t>
            </w:r>
          </w:p>
        </w:tc>
      </w:tr>
    </w:tbl>
    <w:p w14:paraId="61858375" w14:textId="77777777" w:rsidR="002800E3" w:rsidRPr="00AD1EE2" w:rsidRDefault="002800E3" w:rsidP="00B97D72">
      <w:pPr>
        <w:spacing w:line="259" w:lineRule="auto"/>
        <w:rPr>
          <w:sz w:val="22"/>
          <w:szCs w:val="22"/>
        </w:rPr>
      </w:pPr>
    </w:p>
    <w:p w14:paraId="4D5A16D5" w14:textId="77777777" w:rsidR="005807B3" w:rsidRPr="005807B3" w:rsidRDefault="005807B3" w:rsidP="005807B3">
      <w:pPr>
        <w:spacing w:line="264" w:lineRule="auto"/>
        <w:jc w:val="both"/>
        <w:rPr>
          <w:sz w:val="22"/>
          <w:szCs w:val="22"/>
        </w:rPr>
      </w:pPr>
      <w:r>
        <w:rPr>
          <w:sz w:val="22"/>
        </w:rPr>
        <w:t>*Die Gründeraktien haben einen Wert von 1 CZK pro Aktie. Da nur 60 Stück Gründeraktien mit einem Gesamtwert von 60,- CZK ausgegeben wurden, wurde dieser Betrag auf 0 Tsd. CZK abgerundet.</w:t>
      </w:r>
    </w:p>
    <w:p w14:paraId="5A10F79E" w14:textId="774AD6BC" w:rsidR="002800E3" w:rsidRPr="00AD1EE2" w:rsidRDefault="005807B3" w:rsidP="005807B3">
      <w:pPr>
        <w:pStyle w:val="Nadpis2"/>
        <w:spacing w:before="400" w:after="120"/>
      </w:pPr>
      <w:bookmarkStart w:id="17" w:name="_Toc167784882"/>
      <w:r>
        <w:t>KAPITALFONDS</w:t>
      </w:r>
      <w:bookmarkEnd w:id="17"/>
    </w:p>
    <w:tbl>
      <w:tblPr>
        <w:tblStyle w:val="Mkatabulky"/>
        <w:tblW w:w="9751"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5329"/>
        <w:gridCol w:w="2211"/>
        <w:gridCol w:w="2211"/>
      </w:tblGrid>
      <w:tr w:rsidR="005807B3" w:rsidRPr="005807B3" w14:paraId="7C1F6722" w14:textId="77777777" w:rsidTr="005807B3">
        <w:trPr>
          <w:trHeight w:val="482"/>
        </w:trPr>
        <w:tc>
          <w:tcPr>
            <w:tcW w:w="5329" w:type="dxa"/>
            <w:tcBorders>
              <w:bottom w:val="single" w:sz="18" w:space="0" w:color="57CFFD"/>
            </w:tcBorders>
          </w:tcPr>
          <w:p w14:paraId="0F811A32" w14:textId="77777777" w:rsidR="005807B3" w:rsidRPr="005807B3" w:rsidRDefault="005807B3" w:rsidP="00005509">
            <w:pPr>
              <w:spacing w:line="259" w:lineRule="auto"/>
              <w:rPr>
                <w:b/>
                <w:bCs/>
                <w:sz w:val="18"/>
                <w:szCs w:val="18"/>
              </w:rPr>
            </w:pPr>
            <w:r>
              <w:rPr>
                <w:b/>
                <w:sz w:val="18"/>
              </w:rPr>
              <w:t>Tsd. CZK</w:t>
            </w:r>
          </w:p>
        </w:tc>
        <w:tc>
          <w:tcPr>
            <w:tcW w:w="2211" w:type="dxa"/>
            <w:tcBorders>
              <w:bottom w:val="single" w:sz="18" w:space="0" w:color="57CFFD"/>
            </w:tcBorders>
          </w:tcPr>
          <w:p w14:paraId="66D69C72" w14:textId="77777777" w:rsidR="005807B3" w:rsidRPr="005807B3" w:rsidRDefault="005807B3" w:rsidP="005807B3">
            <w:pPr>
              <w:spacing w:line="259" w:lineRule="auto"/>
              <w:jc w:val="right"/>
              <w:rPr>
                <w:b/>
                <w:bCs/>
                <w:sz w:val="18"/>
                <w:szCs w:val="18"/>
              </w:rPr>
            </w:pPr>
            <w:r>
              <w:rPr>
                <w:b/>
                <w:sz w:val="18"/>
              </w:rPr>
              <w:t>31. Dezember 2023</w:t>
            </w:r>
          </w:p>
        </w:tc>
        <w:tc>
          <w:tcPr>
            <w:tcW w:w="2211" w:type="dxa"/>
            <w:tcBorders>
              <w:bottom w:val="single" w:sz="18" w:space="0" w:color="57CFFD"/>
            </w:tcBorders>
          </w:tcPr>
          <w:p w14:paraId="523CA8AA" w14:textId="77777777" w:rsidR="005807B3" w:rsidRPr="005807B3" w:rsidRDefault="005807B3" w:rsidP="005807B3">
            <w:pPr>
              <w:spacing w:line="259" w:lineRule="auto"/>
              <w:jc w:val="right"/>
              <w:rPr>
                <w:b/>
                <w:bCs/>
                <w:sz w:val="18"/>
                <w:szCs w:val="18"/>
              </w:rPr>
            </w:pPr>
            <w:r>
              <w:rPr>
                <w:b/>
                <w:sz w:val="18"/>
              </w:rPr>
              <w:t>31. Dezember 2022</w:t>
            </w:r>
          </w:p>
        </w:tc>
      </w:tr>
      <w:tr w:rsidR="005807B3" w:rsidRPr="005807B3" w14:paraId="282A346F" w14:textId="77777777" w:rsidTr="005807B3">
        <w:trPr>
          <w:trHeight w:val="295"/>
        </w:trPr>
        <w:tc>
          <w:tcPr>
            <w:tcW w:w="5329" w:type="dxa"/>
            <w:tcBorders>
              <w:top w:val="single" w:sz="18" w:space="0" w:color="57CFFD"/>
            </w:tcBorders>
          </w:tcPr>
          <w:p w14:paraId="5BC47A56" w14:textId="77777777" w:rsidR="005807B3" w:rsidRPr="005807B3" w:rsidRDefault="005807B3" w:rsidP="00005509">
            <w:pPr>
              <w:spacing w:line="259" w:lineRule="auto"/>
              <w:rPr>
                <w:b/>
                <w:bCs/>
                <w:sz w:val="18"/>
                <w:szCs w:val="18"/>
              </w:rPr>
            </w:pPr>
            <w:r>
              <w:rPr>
                <w:b/>
                <w:sz w:val="18"/>
              </w:rPr>
              <w:t>Kapitalfonds</w:t>
            </w:r>
          </w:p>
        </w:tc>
        <w:tc>
          <w:tcPr>
            <w:tcW w:w="2211" w:type="dxa"/>
            <w:tcBorders>
              <w:top w:val="single" w:sz="18" w:space="0" w:color="57CFFD"/>
            </w:tcBorders>
          </w:tcPr>
          <w:p w14:paraId="1B96202B" w14:textId="77777777" w:rsidR="005807B3" w:rsidRPr="005807B3" w:rsidRDefault="005807B3" w:rsidP="005807B3">
            <w:pPr>
              <w:spacing w:line="259" w:lineRule="auto"/>
              <w:jc w:val="right"/>
              <w:rPr>
                <w:b/>
                <w:bCs/>
                <w:sz w:val="18"/>
                <w:szCs w:val="18"/>
              </w:rPr>
            </w:pPr>
            <w:r>
              <w:rPr>
                <w:b/>
                <w:sz w:val="18"/>
              </w:rPr>
              <w:t>0</w:t>
            </w:r>
          </w:p>
        </w:tc>
        <w:tc>
          <w:tcPr>
            <w:tcW w:w="2211" w:type="dxa"/>
            <w:tcBorders>
              <w:top w:val="single" w:sz="18" w:space="0" w:color="57CFFD"/>
            </w:tcBorders>
          </w:tcPr>
          <w:p w14:paraId="695CCCD0" w14:textId="77777777" w:rsidR="005807B3" w:rsidRPr="005807B3" w:rsidRDefault="005807B3" w:rsidP="005807B3">
            <w:pPr>
              <w:spacing w:line="259" w:lineRule="auto"/>
              <w:jc w:val="right"/>
              <w:rPr>
                <w:b/>
                <w:bCs/>
                <w:sz w:val="18"/>
                <w:szCs w:val="18"/>
              </w:rPr>
            </w:pPr>
            <w:r>
              <w:rPr>
                <w:b/>
                <w:sz w:val="18"/>
              </w:rPr>
              <w:t>0</w:t>
            </w:r>
          </w:p>
        </w:tc>
      </w:tr>
      <w:tr w:rsidR="005807B3" w:rsidRPr="005807B3" w14:paraId="7A229461" w14:textId="77777777" w:rsidTr="005807B3">
        <w:trPr>
          <w:trHeight w:val="295"/>
        </w:trPr>
        <w:tc>
          <w:tcPr>
            <w:tcW w:w="5329" w:type="dxa"/>
          </w:tcPr>
          <w:p w14:paraId="762A5D3D" w14:textId="77777777" w:rsidR="005807B3" w:rsidRPr="005807B3" w:rsidRDefault="005807B3" w:rsidP="00005509">
            <w:pPr>
              <w:spacing w:line="259" w:lineRule="auto"/>
              <w:rPr>
                <w:b/>
                <w:bCs/>
                <w:sz w:val="18"/>
                <w:szCs w:val="18"/>
              </w:rPr>
            </w:pPr>
            <w:r>
              <w:rPr>
                <w:b/>
                <w:sz w:val="18"/>
              </w:rPr>
              <w:t>Summe</w:t>
            </w:r>
          </w:p>
        </w:tc>
        <w:tc>
          <w:tcPr>
            <w:tcW w:w="2211" w:type="dxa"/>
          </w:tcPr>
          <w:p w14:paraId="5247E1F9" w14:textId="77777777" w:rsidR="005807B3" w:rsidRPr="005807B3" w:rsidRDefault="005807B3" w:rsidP="005807B3">
            <w:pPr>
              <w:spacing w:line="259" w:lineRule="auto"/>
              <w:jc w:val="right"/>
              <w:rPr>
                <w:b/>
                <w:bCs/>
                <w:sz w:val="18"/>
                <w:szCs w:val="18"/>
              </w:rPr>
            </w:pPr>
            <w:r>
              <w:rPr>
                <w:b/>
                <w:sz w:val="18"/>
              </w:rPr>
              <w:t>0</w:t>
            </w:r>
          </w:p>
        </w:tc>
        <w:tc>
          <w:tcPr>
            <w:tcW w:w="2211" w:type="dxa"/>
          </w:tcPr>
          <w:p w14:paraId="2AB4EE31" w14:textId="77777777" w:rsidR="005807B3" w:rsidRPr="005807B3" w:rsidRDefault="005807B3" w:rsidP="005807B3">
            <w:pPr>
              <w:spacing w:line="259" w:lineRule="auto"/>
              <w:jc w:val="right"/>
              <w:rPr>
                <w:b/>
                <w:bCs/>
                <w:sz w:val="18"/>
                <w:szCs w:val="18"/>
              </w:rPr>
            </w:pPr>
            <w:r>
              <w:rPr>
                <w:b/>
                <w:sz w:val="18"/>
              </w:rPr>
              <w:t>0</w:t>
            </w:r>
          </w:p>
        </w:tc>
      </w:tr>
    </w:tbl>
    <w:p w14:paraId="06D24880" w14:textId="0DC31A37" w:rsidR="002800E3" w:rsidRPr="00AD1EE2" w:rsidRDefault="002800E3" w:rsidP="00B97D72">
      <w:pPr>
        <w:spacing w:line="259" w:lineRule="auto"/>
        <w:rPr>
          <w:sz w:val="22"/>
          <w:szCs w:val="22"/>
        </w:rPr>
      </w:pPr>
    </w:p>
    <w:p w14:paraId="183F588C" w14:textId="1BE5E8FE" w:rsidR="005807B3" w:rsidRDefault="005807B3" w:rsidP="00B97D72">
      <w:pPr>
        <w:spacing w:line="259" w:lineRule="auto"/>
        <w:rPr>
          <w:sz w:val="22"/>
          <w:szCs w:val="22"/>
        </w:rPr>
      </w:pPr>
      <w:r>
        <w:rPr>
          <w:noProof/>
        </w:rPr>
        <w:drawing>
          <wp:anchor distT="0" distB="0" distL="114300" distR="114300" simplePos="0" relativeHeight="251679744" behindDoc="1" locked="0" layoutInCell="1" allowOverlap="1" wp14:anchorId="25B73D20" wp14:editId="2B958EEC">
            <wp:simplePos x="0" y="0"/>
            <wp:positionH relativeFrom="margin">
              <wp:posOffset>4557369</wp:posOffset>
            </wp:positionH>
            <wp:positionV relativeFrom="page">
              <wp:posOffset>9483140</wp:posOffset>
            </wp:positionV>
            <wp:extent cx="917575" cy="923290"/>
            <wp:effectExtent l="0" t="0" r="0" b="0"/>
            <wp:wrapNone/>
            <wp:docPr id="24"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br w:type="page"/>
      </w:r>
    </w:p>
    <w:p w14:paraId="4C34082D" w14:textId="57EEE7F2" w:rsidR="002800E3" w:rsidRPr="00AD1EE2" w:rsidRDefault="002800E3" w:rsidP="00B51A59">
      <w:pPr>
        <w:pStyle w:val="Nadpis2"/>
        <w:spacing w:after="120"/>
      </w:pPr>
      <w:bookmarkStart w:id="18" w:name="_Toc167784883"/>
      <w:r>
        <w:lastRenderedPageBreak/>
        <w:t>GEWINN- ODER VERLUSTVORTRAG</w:t>
      </w:r>
      <w:bookmarkEnd w:id="18"/>
    </w:p>
    <w:tbl>
      <w:tblPr>
        <w:tblStyle w:val="Mkatabulky"/>
        <w:tblW w:w="9751"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5329"/>
        <w:gridCol w:w="2211"/>
        <w:gridCol w:w="2211"/>
      </w:tblGrid>
      <w:tr w:rsidR="00B51A59" w:rsidRPr="00B51A59" w14:paraId="724982F7" w14:textId="77777777" w:rsidTr="00B51A59">
        <w:trPr>
          <w:trHeight w:val="454"/>
        </w:trPr>
        <w:tc>
          <w:tcPr>
            <w:tcW w:w="5329" w:type="dxa"/>
            <w:tcBorders>
              <w:bottom w:val="single" w:sz="18" w:space="0" w:color="57CFFD"/>
            </w:tcBorders>
          </w:tcPr>
          <w:p w14:paraId="59D27857" w14:textId="77777777" w:rsidR="00B51A59" w:rsidRPr="00B51A59" w:rsidRDefault="00B51A59" w:rsidP="00AA14F8">
            <w:pPr>
              <w:rPr>
                <w:b/>
                <w:bCs/>
                <w:sz w:val="18"/>
                <w:szCs w:val="18"/>
              </w:rPr>
            </w:pPr>
            <w:r>
              <w:rPr>
                <w:b/>
                <w:sz w:val="18"/>
              </w:rPr>
              <w:t>Tsd. CZK</w:t>
            </w:r>
          </w:p>
        </w:tc>
        <w:tc>
          <w:tcPr>
            <w:tcW w:w="2211" w:type="dxa"/>
            <w:tcBorders>
              <w:bottom w:val="single" w:sz="18" w:space="0" w:color="57CFFD"/>
            </w:tcBorders>
          </w:tcPr>
          <w:p w14:paraId="7A5F7659" w14:textId="77777777" w:rsidR="00B51A59" w:rsidRPr="00B51A59" w:rsidRDefault="00B51A59" w:rsidP="00AA14F8">
            <w:pPr>
              <w:jc w:val="right"/>
              <w:rPr>
                <w:b/>
                <w:bCs/>
                <w:sz w:val="18"/>
                <w:szCs w:val="18"/>
              </w:rPr>
            </w:pPr>
            <w:r>
              <w:rPr>
                <w:b/>
                <w:sz w:val="18"/>
              </w:rPr>
              <w:t>31. Dezember 2023</w:t>
            </w:r>
          </w:p>
        </w:tc>
        <w:tc>
          <w:tcPr>
            <w:tcW w:w="2211" w:type="dxa"/>
            <w:tcBorders>
              <w:bottom w:val="single" w:sz="18" w:space="0" w:color="57CFFD"/>
            </w:tcBorders>
          </w:tcPr>
          <w:p w14:paraId="3B4C1EE1" w14:textId="77777777" w:rsidR="00B51A59" w:rsidRPr="00B51A59" w:rsidRDefault="00B51A59" w:rsidP="00AA14F8">
            <w:pPr>
              <w:jc w:val="right"/>
              <w:rPr>
                <w:b/>
                <w:bCs/>
                <w:sz w:val="18"/>
                <w:szCs w:val="18"/>
              </w:rPr>
            </w:pPr>
            <w:r>
              <w:rPr>
                <w:b/>
                <w:sz w:val="18"/>
              </w:rPr>
              <w:t>31. Dezember 2022</w:t>
            </w:r>
          </w:p>
        </w:tc>
      </w:tr>
      <w:tr w:rsidR="00B51A59" w:rsidRPr="00B51A59" w14:paraId="65F82E65" w14:textId="77777777" w:rsidTr="00AF2234">
        <w:trPr>
          <w:trHeight w:val="283"/>
        </w:trPr>
        <w:tc>
          <w:tcPr>
            <w:tcW w:w="5329" w:type="dxa"/>
            <w:tcBorders>
              <w:top w:val="single" w:sz="18" w:space="0" w:color="57CFFD"/>
            </w:tcBorders>
          </w:tcPr>
          <w:p w14:paraId="093226C9" w14:textId="77777777" w:rsidR="00B51A59" w:rsidRPr="00B51A59" w:rsidRDefault="00B51A59" w:rsidP="00AA14F8">
            <w:pPr>
              <w:rPr>
                <w:b/>
                <w:bCs/>
                <w:sz w:val="18"/>
                <w:szCs w:val="18"/>
              </w:rPr>
            </w:pPr>
            <w:r>
              <w:rPr>
                <w:b/>
                <w:sz w:val="18"/>
              </w:rPr>
              <w:t>Gewinn- oder Verlustvortrag</w:t>
            </w:r>
          </w:p>
        </w:tc>
        <w:tc>
          <w:tcPr>
            <w:tcW w:w="2211" w:type="dxa"/>
            <w:tcBorders>
              <w:top w:val="single" w:sz="18" w:space="0" w:color="57CFFD"/>
            </w:tcBorders>
          </w:tcPr>
          <w:p w14:paraId="6406939B" w14:textId="77777777" w:rsidR="00B51A59" w:rsidRPr="00AA14F8" w:rsidRDefault="00B51A59" w:rsidP="00AA14F8">
            <w:pPr>
              <w:jc w:val="right"/>
              <w:rPr>
                <w:sz w:val="18"/>
                <w:szCs w:val="18"/>
              </w:rPr>
            </w:pPr>
            <w:r>
              <w:rPr>
                <w:sz w:val="18"/>
              </w:rPr>
              <w:t>0</w:t>
            </w:r>
          </w:p>
        </w:tc>
        <w:tc>
          <w:tcPr>
            <w:tcW w:w="2211" w:type="dxa"/>
            <w:tcBorders>
              <w:top w:val="single" w:sz="18" w:space="0" w:color="57CFFD"/>
            </w:tcBorders>
          </w:tcPr>
          <w:p w14:paraId="6B59900D" w14:textId="77777777" w:rsidR="00B51A59" w:rsidRPr="00AA14F8" w:rsidRDefault="00B51A59" w:rsidP="00AA14F8">
            <w:pPr>
              <w:jc w:val="right"/>
              <w:rPr>
                <w:sz w:val="18"/>
                <w:szCs w:val="18"/>
              </w:rPr>
            </w:pPr>
            <w:r>
              <w:rPr>
                <w:sz w:val="18"/>
              </w:rPr>
              <w:t>0</w:t>
            </w:r>
          </w:p>
        </w:tc>
      </w:tr>
      <w:tr w:rsidR="00B51A59" w:rsidRPr="00B51A59" w14:paraId="3A361A49" w14:textId="77777777" w:rsidTr="00AA14F8">
        <w:trPr>
          <w:trHeight w:val="283"/>
        </w:trPr>
        <w:tc>
          <w:tcPr>
            <w:tcW w:w="5329" w:type="dxa"/>
          </w:tcPr>
          <w:p w14:paraId="7D18B347" w14:textId="77777777" w:rsidR="00B51A59" w:rsidRPr="00B51A59" w:rsidRDefault="00B51A59" w:rsidP="00AA14F8">
            <w:pPr>
              <w:rPr>
                <w:b/>
                <w:bCs/>
                <w:sz w:val="18"/>
                <w:szCs w:val="18"/>
              </w:rPr>
            </w:pPr>
            <w:r>
              <w:rPr>
                <w:b/>
                <w:sz w:val="18"/>
              </w:rPr>
              <w:t>Summe</w:t>
            </w:r>
          </w:p>
        </w:tc>
        <w:tc>
          <w:tcPr>
            <w:tcW w:w="2211" w:type="dxa"/>
          </w:tcPr>
          <w:p w14:paraId="37A29BC9" w14:textId="77777777" w:rsidR="00B51A59" w:rsidRPr="00B51A59" w:rsidRDefault="00B51A59" w:rsidP="00AA14F8">
            <w:pPr>
              <w:jc w:val="right"/>
              <w:rPr>
                <w:b/>
                <w:bCs/>
                <w:sz w:val="18"/>
                <w:szCs w:val="18"/>
              </w:rPr>
            </w:pPr>
            <w:r>
              <w:rPr>
                <w:b/>
                <w:sz w:val="18"/>
              </w:rPr>
              <w:t>0</w:t>
            </w:r>
          </w:p>
        </w:tc>
        <w:tc>
          <w:tcPr>
            <w:tcW w:w="2211" w:type="dxa"/>
          </w:tcPr>
          <w:p w14:paraId="743F448F" w14:textId="77777777" w:rsidR="00B51A59" w:rsidRPr="00B51A59" w:rsidRDefault="00B51A59" w:rsidP="00AA14F8">
            <w:pPr>
              <w:jc w:val="right"/>
              <w:rPr>
                <w:b/>
                <w:bCs/>
                <w:sz w:val="18"/>
                <w:szCs w:val="18"/>
              </w:rPr>
            </w:pPr>
            <w:r>
              <w:rPr>
                <w:b/>
                <w:sz w:val="18"/>
              </w:rPr>
              <w:t>0</w:t>
            </w:r>
          </w:p>
        </w:tc>
      </w:tr>
    </w:tbl>
    <w:p w14:paraId="6DD6C4C9" w14:textId="77777777" w:rsidR="00B51A59" w:rsidRDefault="00B51A59" w:rsidP="00B97D72">
      <w:pPr>
        <w:spacing w:line="259" w:lineRule="auto"/>
        <w:rPr>
          <w:sz w:val="22"/>
          <w:szCs w:val="22"/>
        </w:rPr>
      </w:pPr>
    </w:p>
    <w:p w14:paraId="6561D95F" w14:textId="0FF8D667" w:rsidR="00B51A59" w:rsidRDefault="00B51A59" w:rsidP="00B97D72">
      <w:pPr>
        <w:spacing w:line="259" w:lineRule="auto"/>
        <w:rPr>
          <w:sz w:val="22"/>
          <w:szCs w:val="22"/>
        </w:rPr>
      </w:pPr>
    </w:p>
    <w:p w14:paraId="5845F114" w14:textId="77777777" w:rsidR="00AA14F8" w:rsidRDefault="00AA14F8" w:rsidP="00B97D72">
      <w:pPr>
        <w:spacing w:line="259" w:lineRule="auto"/>
        <w:rPr>
          <w:sz w:val="22"/>
          <w:szCs w:val="22"/>
        </w:rPr>
      </w:pPr>
    </w:p>
    <w:p w14:paraId="032A909A" w14:textId="404DB6D3" w:rsidR="002800E3" w:rsidRPr="00AD1EE2" w:rsidRDefault="002800E3" w:rsidP="00AA14F8">
      <w:pPr>
        <w:pStyle w:val="Nadpis2"/>
        <w:spacing w:after="120"/>
      </w:pPr>
      <w:bookmarkStart w:id="19" w:name="_Toc167784884"/>
      <w:r>
        <w:t>ZUR VERWALTUNG ÜBERGEGEBENE VERMÖGENSWERTE</w:t>
      </w:r>
      <w:bookmarkEnd w:id="19"/>
    </w:p>
    <w:p w14:paraId="12FA06CA" w14:textId="4FF16342" w:rsidR="002800E3" w:rsidRDefault="002800E3" w:rsidP="00AA14F8">
      <w:pPr>
        <w:spacing w:line="259" w:lineRule="auto"/>
        <w:jc w:val="both"/>
        <w:rPr>
          <w:sz w:val="22"/>
          <w:szCs w:val="22"/>
        </w:rPr>
      </w:pPr>
      <w:r>
        <w:rPr>
          <w:sz w:val="22"/>
        </w:rPr>
        <w:t>Das Vermögen des Fonds in Höhe von 60,- CZK zum 31. Dezember 2023 (31. Dezember 2022: 60,-</w:t>
      </w:r>
      <w:r w:rsidR="00AF2234">
        <w:rPr>
          <w:sz w:val="22"/>
        </w:rPr>
        <w:t> </w:t>
      </w:r>
      <w:r>
        <w:rPr>
          <w:sz w:val="22"/>
        </w:rPr>
        <w:t>CZK) wird von der Gesellschaft verwaltet.</w:t>
      </w:r>
    </w:p>
    <w:p w14:paraId="0AFF8A10" w14:textId="086033E0" w:rsidR="00AA14F8" w:rsidRDefault="00AA14F8" w:rsidP="00AA14F8">
      <w:pPr>
        <w:spacing w:line="259" w:lineRule="auto"/>
        <w:jc w:val="both"/>
        <w:rPr>
          <w:sz w:val="22"/>
          <w:szCs w:val="22"/>
        </w:rPr>
      </w:pPr>
    </w:p>
    <w:p w14:paraId="6DB2C45B" w14:textId="77777777" w:rsidR="00AA14F8" w:rsidRPr="00AD1EE2" w:rsidRDefault="00AA14F8" w:rsidP="00AA14F8">
      <w:pPr>
        <w:spacing w:line="259" w:lineRule="auto"/>
        <w:jc w:val="both"/>
        <w:rPr>
          <w:sz w:val="22"/>
          <w:szCs w:val="22"/>
        </w:rPr>
      </w:pPr>
    </w:p>
    <w:p w14:paraId="1CE3389F" w14:textId="7770CF7D" w:rsidR="002800E3" w:rsidRPr="00AD1EE2" w:rsidRDefault="002800E3" w:rsidP="00AA14F8">
      <w:pPr>
        <w:pStyle w:val="Nadpis1"/>
        <w:spacing w:after="200"/>
      </w:pPr>
      <w:bookmarkStart w:id="20" w:name="_Toc167784885"/>
      <w:r>
        <w:t>GEGENSEITIGE BEZIEHUNGEN</w:t>
      </w:r>
      <w:bookmarkEnd w:id="20"/>
    </w:p>
    <w:tbl>
      <w:tblPr>
        <w:tblStyle w:val="Mkatabulky"/>
        <w:tblW w:w="9714"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5329"/>
        <w:gridCol w:w="2211"/>
        <w:gridCol w:w="2174"/>
      </w:tblGrid>
      <w:tr w:rsidR="00AA14F8" w:rsidRPr="00AA14F8" w14:paraId="642D8592" w14:textId="77777777" w:rsidTr="00AA14F8">
        <w:trPr>
          <w:trHeight w:val="454"/>
        </w:trPr>
        <w:tc>
          <w:tcPr>
            <w:tcW w:w="5329" w:type="dxa"/>
            <w:tcBorders>
              <w:bottom w:val="single" w:sz="18" w:space="0" w:color="57CFFD"/>
            </w:tcBorders>
          </w:tcPr>
          <w:p w14:paraId="0731E1B2" w14:textId="77777777" w:rsidR="00AA14F8" w:rsidRPr="00AA14F8" w:rsidRDefault="00AA14F8" w:rsidP="004C657C">
            <w:pPr>
              <w:spacing w:line="259" w:lineRule="auto"/>
              <w:rPr>
                <w:b/>
                <w:bCs/>
                <w:sz w:val="18"/>
                <w:szCs w:val="18"/>
              </w:rPr>
            </w:pPr>
            <w:r>
              <w:rPr>
                <w:b/>
                <w:sz w:val="18"/>
              </w:rPr>
              <w:t>Forderungen gegenüber einem verbundenen Unternehmen</w:t>
            </w:r>
          </w:p>
        </w:tc>
        <w:tc>
          <w:tcPr>
            <w:tcW w:w="2211" w:type="dxa"/>
            <w:tcBorders>
              <w:bottom w:val="single" w:sz="18" w:space="0" w:color="57CFFD"/>
            </w:tcBorders>
          </w:tcPr>
          <w:p w14:paraId="1FAC2F5A" w14:textId="77777777" w:rsidR="00AA14F8" w:rsidRPr="00AA14F8" w:rsidRDefault="00AA14F8" w:rsidP="00AA14F8">
            <w:pPr>
              <w:spacing w:line="259" w:lineRule="auto"/>
              <w:jc w:val="right"/>
              <w:rPr>
                <w:b/>
                <w:bCs/>
                <w:sz w:val="18"/>
                <w:szCs w:val="18"/>
              </w:rPr>
            </w:pPr>
            <w:r>
              <w:rPr>
                <w:b/>
                <w:sz w:val="18"/>
              </w:rPr>
              <w:t>31. Dezember 2023</w:t>
            </w:r>
          </w:p>
        </w:tc>
        <w:tc>
          <w:tcPr>
            <w:tcW w:w="2174" w:type="dxa"/>
            <w:tcBorders>
              <w:bottom w:val="single" w:sz="18" w:space="0" w:color="57CFFD"/>
            </w:tcBorders>
          </w:tcPr>
          <w:p w14:paraId="2BA14053" w14:textId="77777777" w:rsidR="00AA14F8" w:rsidRPr="00AA14F8" w:rsidRDefault="00AA14F8" w:rsidP="00AA14F8">
            <w:pPr>
              <w:spacing w:line="259" w:lineRule="auto"/>
              <w:jc w:val="right"/>
              <w:rPr>
                <w:b/>
                <w:bCs/>
                <w:sz w:val="18"/>
                <w:szCs w:val="18"/>
              </w:rPr>
            </w:pPr>
            <w:r>
              <w:rPr>
                <w:b/>
                <w:sz w:val="18"/>
              </w:rPr>
              <w:t>31. Dezember 2022</w:t>
            </w:r>
          </w:p>
        </w:tc>
      </w:tr>
      <w:tr w:rsidR="00AA14F8" w:rsidRPr="00AA14F8" w14:paraId="43B5864B" w14:textId="77777777" w:rsidTr="00AA14F8">
        <w:trPr>
          <w:trHeight w:val="289"/>
        </w:trPr>
        <w:tc>
          <w:tcPr>
            <w:tcW w:w="5329" w:type="dxa"/>
            <w:tcBorders>
              <w:top w:val="single" w:sz="18" w:space="0" w:color="57CFFD"/>
            </w:tcBorders>
          </w:tcPr>
          <w:p w14:paraId="416A0E93" w14:textId="77777777" w:rsidR="00AA14F8" w:rsidRPr="00AA14F8" w:rsidRDefault="00AA14F8" w:rsidP="004C657C">
            <w:pPr>
              <w:spacing w:line="259" w:lineRule="auto"/>
              <w:rPr>
                <w:b/>
                <w:bCs/>
                <w:sz w:val="18"/>
                <w:szCs w:val="18"/>
              </w:rPr>
            </w:pPr>
            <w:r>
              <w:rPr>
                <w:b/>
                <w:sz w:val="18"/>
              </w:rPr>
              <w:t xml:space="preserve">ZDR, </w:t>
            </w:r>
            <w:proofErr w:type="spellStart"/>
            <w:r>
              <w:rPr>
                <w:b/>
                <w:sz w:val="18"/>
              </w:rPr>
              <w:t>podfond</w:t>
            </w:r>
            <w:proofErr w:type="spellEnd"/>
            <w:r>
              <w:rPr>
                <w:b/>
                <w:sz w:val="18"/>
              </w:rPr>
              <w:t xml:space="preserve"> Real Estate</w:t>
            </w:r>
          </w:p>
        </w:tc>
        <w:tc>
          <w:tcPr>
            <w:tcW w:w="2211" w:type="dxa"/>
            <w:tcBorders>
              <w:top w:val="single" w:sz="18" w:space="0" w:color="57CFFD"/>
            </w:tcBorders>
          </w:tcPr>
          <w:p w14:paraId="1CBE03C2" w14:textId="77777777" w:rsidR="00AA14F8" w:rsidRPr="00AA14F8" w:rsidRDefault="00AA14F8" w:rsidP="00AA14F8">
            <w:pPr>
              <w:spacing w:line="259" w:lineRule="auto"/>
              <w:jc w:val="right"/>
              <w:rPr>
                <w:sz w:val="18"/>
                <w:szCs w:val="18"/>
              </w:rPr>
            </w:pPr>
            <w:r>
              <w:rPr>
                <w:sz w:val="18"/>
              </w:rPr>
              <w:t>0</w:t>
            </w:r>
          </w:p>
        </w:tc>
        <w:tc>
          <w:tcPr>
            <w:tcW w:w="2174" w:type="dxa"/>
            <w:tcBorders>
              <w:top w:val="single" w:sz="18" w:space="0" w:color="57CFFD"/>
            </w:tcBorders>
          </w:tcPr>
          <w:p w14:paraId="40A2E199" w14:textId="77777777" w:rsidR="00AA14F8" w:rsidRPr="00AA14F8" w:rsidRDefault="00AA14F8" w:rsidP="00AA14F8">
            <w:pPr>
              <w:spacing w:line="259" w:lineRule="auto"/>
              <w:jc w:val="right"/>
              <w:rPr>
                <w:sz w:val="18"/>
                <w:szCs w:val="18"/>
              </w:rPr>
            </w:pPr>
            <w:r>
              <w:rPr>
                <w:sz w:val="18"/>
              </w:rPr>
              <w:t>0</w:t>
            </w:r>
          </w:p>
        </w:tc>
      </w:tr>
      <w:tr w:rsidR="00AA14F8" w:rsidRPr="00AA14F8" w14:paraId="7901E717" w14:textId="77777777" w:rsidTr="00AA14F8">
        <w:trPr>
          <w:trHeight w:val="289"/>
        </w:trPr>
        <w:tc>
          <w:tcPr>
            <w:tcW w:w="5329" w:type="dxa"/>
          </w:tcPr>
          <w:p w14:paraId="25EDD1AD" w14:textId="77777777" w:rsidR="00AA14F8" w:rsidRPr="00AA14F8" w:rsidRDefault="00AA14F8" w:rsidP="004C657C">
            <w:pPr>
              <w:spacing w:line="259" w:lineRule="auto"/>
              <w:rPr>
                <w:b/>
                <w:bCs/>
                <w:sz w:val="18"/>
                <w:szCs w:val="18"/>
              </w:rPr>
            </w:pPr>
            <w:r>
              <w:rPr>
                <w:b/>
                <w:sz w:val="18"/>
              </w:rPr>
              <w:t>Summe</w:t>
            </w:r>
          </w:p>
        </w:tc>
        <w:tc>
          <w:tcPr>
            <w:tcW w:w="2211" w:type="dxa"/>
          </w:tcPr>
          <w:p w14:paraId="2F9198F0" w14:textId="77777777" w:rsidR="00AA14F8" w:rsidRPr="00AA14F8" w:rsidRDefault="00AA14F8" w:rsidP="00AA14F8">
            <w:pPr>
              <w:spacing w:line="259" w:lineRule="auto"/>
              <w:jc w:val="right"/>
              <w:rPr>
                <w:b/>
                <w:bCs/>
                <w:sz w:val="18"/>
                <w:szCs w:val="18"/>
              </w:rPr>
            </w:pPr>
            <w:r>
              <w:rPr>
                <w:b/>
                <w:sz w:val="18"/>
              </w:rPr>
              <w:t>0</w:t>
            </w:r>
          </w:p>
        </w:tc>
        <w:tc>
          <w:tcPr>
            <w:tcW w:w="2174" w:type="dxa"/>
          </w:tcPr>
          <w:p w14:paraId="7FA506C6" w14:textId="77777777" w:rsidR="00AA14F8" w:rsidRPr="00AA14F8" w:rsidRDefault="00AA14F8" w:rsidP="00AA14F8">
            <w:pPr>
              <w:spacing w:line="259" w:lineRule="auto"/>
              <w:jc w:val="right"/>
              <w:rPr>
                <w:b/>
                <w:bCs/>
                <w:sz w:val="18"/>
                <w:szCs w:val="18"/>
              </w:rPr>
            </w:pPr>
            <w:r>
              <w:rPr>
                <w:b/>
                <w:sz w:val="18"/>
              </w:rPr>
              <w:t>0</w:t>
            </w:r>
          </w:p>
        </w:tc>
      </w:tr>
    </w:tbl>
    <w:p w14:paraId="3D4D046D" w14:textId="77777777" w:rsidR="00AA14F8" w:rsidRDefault="00AA14F8" w:rsidP="00B97D72">
      <w:pPr>
        <w:spacing w:line="259" w:lineRule="auto"/>
        <w:rPr>
          <w:sz w:val="22"/>
          <w:szCs w:val="22"/>
        </w:rPr>
      </w:pPr>
    </w:p>
    <w:p w14:paraId="53FFEFF2" w14:textId="1D8106B0" w:rsidR="002800E3" w:rsidRPr="00AD1EE2" w:rsidRDefault="002800E3" w:rsidP="00AA14F8">
      <w:pPr>
        <w:spacing w:line="259" w:lineRule="auto"/>
        <w:jc w:val="both"/>
        <w:rPr>
          <w:sz w:val="22"/>
          <w:szCs w:val="22"/>
        </w:rPr>
      </w:pPr>
      <w:r>
        <w:rPr>
          <w:sz w:val="22"/>
        </w:rPr>
        <w:t xml:space="preserve">Zum 31. Dezember 2023 weist der Fonds eine Forderung gegenüber </w:t>
      </w:r>
      <w:proofErr w:type="spellStart"/>
      <w:r>
        <w:rPr>
          <w:sz w:val="22"/>
        </w:rPr>
        <w:t>Podfond</w:t>
      </w:r>
      <w:proofErr w:type="spellEnd"/>
      <w:r>
        <w:rPr>
          <w:sz w:val="22"/>
        </w:rPr>
        <w:t xml:space="preserve"> in Höhe von 60,- CZK (31. Dezember 2022: 60 CZK) aus.</w:t>
      </w:r>
    </w:p>
    <w:p w14:paraId="1CA4FBFF" w14:textId="03508DFD" w:rsidR="002800E3" w:rsidRPr="00AD1EE2" w:rsidRDefault="002800E3" w:rsidP="00AA14F8">
      <w:pPr>
        <w:pStyle w:val="Nadpis1"/>
        <w:spacing w:before="240" w:after="240"/>
      </w:pPr>
      <w:bookmarkStart w:id="21" w:name="_Toc167784886"/>
      <w:r>
        <w:t>BEIZULEGENDER ZEITWERT DER AKTIVA UND PASSIVA</w:t>
      </w:r>
      <w:bookmarkEnd w:id="21"/>
    </w:p>
    <w:p w14:paraId="00641A64" w14:textId="77777777" w:rsidR="002800E3" w:rsidRPr="00AD1EE2" w:rsidRDefault="002800E3" w:rsidP="00AA14F8">
      <w:pPr>
        <w:spacing w:line="259" w:lineRule="auto"/>
        <w:jc w:val="both"/>
        <w:rPr>
          <w:sz w:val="22"/>
          <w:szCs w:val="22"/>
        </w:rPr>
      </w:pPr>
      <w:r>
        <w:rPr>
          <w:sz w:val="22"/>
        </w:rPr>
        <w:t xml:space="preserve">Die Forderung gegenüber </w:t>
      </w:r>
      <w:proofErr w:type="spellStart"/>
      <w:r>
        <w:rPr>
          <w:sz w:val="22"/>
        </w:rPr>
        <w:t>Podfond</w:t>
      </w:r>
      <w:proofErr w:type="spellEnd"/>
      <w:r>
        <w:rPr>
          <w:sz w:val="22"/>
        </w:rPr>
        <w:t xml:space="preserve"> in Höhe von 60,- CZK wird zu ihrem Nennwert bewertet, von dem angenommen wird, dass er mit ihrem beizulegenden Zeitwert vergleichbar ist.</w:t>
      </w:r>
    </w:p>
    <w:p w14:paraId="2D26B6CC" w14:textId="77777777" w:rsidR="00AA14F8" w:rsidRDefault="00AA14F8" w:rsidP="00B97D72">
      <w:pPr>
        <w:spacing w:line="259" w:lineRule="auto"/>
        <w:rPr>
          <w:sz w:val="22"/>
          <w:szCs w:val="22"/>
        </w:rPr>
      </w:pPr>
    </w:p>
    <w:p w14:paraId="1B551D03" w14:textId="79EA50B2" w:rsidR="002800E3" w:rsidRPr="00AD1EE2" w:rsidRDefault="002800E3" w:rsidP="00B97D72">
      <w:pPr>
        <w:spacing w:line="259" w:lineRule="auto"/>
        <w:rPr>
          <w:sz w:val="22"/>
          <w:szCs w:val="22"/>
        </w:rPr>
      </w:pPr>
      <w:r>
        <w:rPr>
          <w:sz w:val="22"/>
        </w:rPr>
        <w:t>Die Inputfaktoren für alle Aktiva sind der Stufe 3 zuzuordnen.</w:t>
      </w:r>
    </w:p>
    <w:p w14:paraId="3E0EFBC7" w14:textId="77777777" w:rsidR="00AA14F8" w:rsidRDefault="00AA14F8" w:rsidP="00B97D72">
      <w:pPr>
        <w:spacing w:line="259" w:lineRule="auto"/>
        <w:rPr>
          <w:sz w:val="22"/>
          <w:szCs w:val="22"/>
        </w:rPr>
      </w:pPr>
    </w:p>
    <w:p w14:paraId="2B46B5CA" w14:textId="413F8CF2" w:rsidR="002800E3" w:rsidRPr="00AD1EE2" w:rsidRDefault="002800E3" w:rsidP="00B97D72">
      <w:pPr>
        <w:spacing w:line="259" w:lineRule="auto"/>
        <w:rPr>
          <w:sz w:val="22"/>
          <w:szCs w:val="22"/>
        </w:rPr>
      </w:pPr>
      <w:r>
        <w:rPr>
          <w:sz w:val="22"/>
        </w:rPr>
        <w:t>Im Verlauf des Jahres 2023 erfolgten keine Übertragungen zwischen den Stufen 1, 2 und 3.</w:t>
      </w:r>
    </w:p>
    <w:p w14:paraId="52B8C300" w14:textId="7EB659D7" w:rsidR="002800E3" w:rsidRPr="00AD1EE2" w:rsidRDefault="002800E3" w:rsidP="00AA14F8">
      <w:pPr>
        <w:pStyle w:val="Nadpis1"/>
        <w:spacing w:before="200" w:after="240"/>
      </w:pPr>
      <w:bookmarkStart w:id="22" w:name="_Toc167784887"/>
      <w:r>
        <w:t>ÜBERSICHT ÜBER DIE FINANZINSTRUMENTE ZUM 31.12.2023:</w:t>
      </w:r>
      <w:bookmarkEnd w:id="22"/>
    </w:p>
    <w:tbl>
      <w:tblPr>
        <w:tblStyle w:val="Mkatabulky"/>
        <w:tblW w:w="9751" w:type="dxa"/>
        <w:tblBorders>
          <w:top w:val="single" w:sz="6" w:space="0" w:color="57CFFD"/>
          <w:left w:val="single" w:sz="6" w:space="0" w:color="57CFFD"/>
          <w:bottom w:val="single" w:sz="6" w:space="0" w:color="57CFFD"/>
          <w:right w:val="single" w:sz="6" w:space="0" w:color="57CFFD"/>
          <w:insideH w:val="single" w:sz="6" w:space="0" w:color="57CFFD"/>
          <w:insideV w:val="single" w:sz="6" w:space="0" w:color="57CFFD"/>
        </w:tblBorders>
        <w:tblLook w:val="04A0" w:firstRow="1" w:lastRow="0" w:firstColumn="1" w:lastColumn="0" w:noHBand="0" w:noVBand="1"/>
      </w:tblPr>
      <w:tblGrid>
        <w:gridCol w:w="4528"/>
        <w:gridCol w:w="2552"/>
        <w:gridCol w:w="2671"/>
      </w:tblGrid>
      <w:tr w:rsidR="00AA14F8" w:rsidRPr="00AA14F8" w14:paraId="5DD40859" w14:textId="77777777" w:rsidTr="00AF2234">
        <w:trPr>
          <w:trHeight w:val="283"/>
        </w:trPr>
        <w:tc>
          <w:tcPr>
            <w:tcW w:w="4528" w:type="dxa"/>
            <w:tcBorders>
              <w:bottom w:val="single" w:sz="18" w:space="0" w:color="57CFFD"/>
            </w:tcBorders>
          </w:tcPr>
          <w:p w14:paraId="7B86241F" w14:textId="77BA45C7" w:rsidR="00AA14F8" w:rsidRPr="00AA14F8" w:rsidRDefault="00AA14F8" w:rsidP="00AA14F8">
            <w:pPr>
              <w:spacing w:line="259" w:lineRule="auto"/>
              <w:rPr>
                <w:b/>
                <w:bCs/>
              </w:rPr>
            </w:pPr>
            <w:r>
              <w:rPr>
                <w:b/>
              </w:rPr>
              <w:t>Tsd. CZK</w:t>
            </w:r>
          </w:p>
        </w:tc>
        <w:tc>
          <w:tcPr>
            <w:tcW w:w="2552" w:type="dxa"/>
            <w:tcBorders>
              <w:bottom w:val="single" w:sz="18" w:space="0" w:color="57CFFD"/>
            </w:tcBorders>
          </w:tcPr>
          <w:p w14:paraId="6424C17B" w14:textId="4013D3E9" w:rsidR="00AA14F8" w:rsidRPr="00AA14F8" w:rsidRDefault="00AA14F8" w:rsidP="00AA14F8">
            <w:pPr>
              <w:spacing w:line="259" w:lineRule="auto"/>
              <w:jc w:val="right"/>
              <w:rPr>
                <w:b/>
                <w:bCs/>
              </w:rPr>
            </w:pPr>
            <w:r>
              <w:rPr>
                <w:b/>
              </w:rPr>
              <w:t>Zum 31.12.2023</w:t>
            </w:r>
          </w:p>
        </w:tc>
        <w:tc>
          <w:tcPr>
            <w:tcW w:w="2671" w:type="dxa"/>
            <w:tcBorders>
              <w:bottom w:val="single" w:sz="18" w:space="0" w:color="57CFFD"/>
            </w:tcBorders>
          </w:tcPr>
          <w:p w14:paraId="711F6E36" w14:textId="53B56BC8" w:rsidR="00AA14F8" w:rsidRPr="00AA14F8" w:rsidRDefault="00AA14F8" w:rsidP="00AA14F8">
            <w:pPr>
              <w:spacing w:line="259" w:lineRule="auto"/>
              <w:jc w:val="right"/>
              <w:rPr>
                <w:b/>
                <w:bCs/>
              </w:rPr>
            </w:pPr>
            <w:r>
              <w:rPr>
                <w:b/>
              </w:rPr>
              <w:t>Zum 31.12.2022</w:t>
            </w:r>
          </w:p>
        </w:tc>
      </w:tr>
      <w:tr w:rsidR="00AA14F8" w:rsidRPr="00AA14F8" w14:paraId="01FE4B9E" w14:textId="77777777" w:rsidTr="00AF2234">
        <w:tc>
          <w:tcPr>
            <w:tcW w:w="4528" w:type="dxa"/>
            <w:tcBorders>
              <w:top w:val="single" w:sz="18" w:space="0" w:color="57CFFD"/>
            </w:tcBorders>
          </w:tcPr>
          <w:p w14:paraId="2A512C8E" w14:textId="70C9EBC7" w:rsidR="00AA14F8" w:rsidRPr="00AA14F8" w:rsidRDefault="00AA14F8" w:rsidP="00AA14F8">
            <w:pPr>
              <w:spacing w:line="259" w:lineRule="auto"/>
              <w:rPr>
                <w:b/>
                <w:bCs/>
              </w:rPr>
            </w:pPr>
            <w:r>
              <w:rPr>
                <w:b/>
              </w:rPr>
              <w:t>Aktiva</w:t>
            </w:r>
          </w:p>
        </w:tc>
        <w:tc>
          <w:tcPr>
            <w:tcW w:w="2552" w:type="dxa"/>
            <w:tcBorders>
              <w:top w:val="single" w:sz="18" w:space="0" w:color="57CFFD"/>
            </w:tcBorders>
          </w:tcPr>
          <w:p w14:paraId="0726FE7C" w14:textId="0D671E64" w:rsidR="00AA14F8" w:rsidRPr="00AA14F8" w:rsidRDefault="00AA14F8" w:rsidP="00AA14F8">
            <w:pPr>
              <w:spacing w:line="259" w:lineRule="auto"/>
              <w:jc w:val="right"/>
            </w:pPr>
            <w:r>
              <w:t>Obligatorisch in FVTPL</w:t>
            </w:r>
          </w:p>
        </w:tc>
        <w:tc>
          <w:tcPr>
            <w:tcW w:w="2671" w:type="dxa"/>
            <w:tcBorders>
              <w:top w:val="single" w:sz="18" w:space="0" w:color="57CFFD"/>
            </w:tcBorders>
          </w:tcPr>
          <w:p w14:paraId="7DFD85AD" w14:textId="4805A7C9" w:rsidR="00AA14F8" w:rsidRPr="00AA14F8" w:rsidRDefault="00AA14F8" w:rsidP="00AA14F8">
            <w:pPr>
              <w:spacing w:line="259" w:lineRule="auto"/>
              <w:jc w:val="right"/>
            </w:pPr>
            <w:r>
              <w:t>Obligatorisch in FVTPL</w:t>
            </w:r>
          </w:p>
        </w:tc>
      </w:tr>
      <w:tr w:rsidR="00AA14F8" w:rsidRPr="00AA14F8" w14:paraId="3F26F066" w14:textId="77777777" w:rsidTr="00AF2234">
        <w:tc>
          <w:tcPr>
            <w:tcW w:w="4528" w:type="dxa"/>
          </w:tcPr>
          <w:p w14:paraId="13A792FD" w14:textId="1C02B279" w:rsidR="00AA14F8" w:rsidRPr="00AA14F8" w:rsidRDefault="00AA14F8" w:rsidP="00AA14F8">
            <w:pPr>
              <w:spacing w:line="259" w:lineRule="auto"/>
              <w:rPr>
                <w:b/>
                <w:bCs/>
              </w:rPr>
            </w:pPr>
            <w:r>
              <w:rPr>
                <w:b/>
              </w:rPr>
              <w:t>Sonstige Aktiva</w:t>
            </w:r>
          </w:p>
        </w:tc>
        <w:tc>
          <w:tcPr>
            <w:tcW w:w="2552" w:type="dxa"/>
          </w:tcPr>
          <w:p w14:paraId="1EBEBC4C" w14:textId="2E858760" w:rsidR="00AA14F8" w:rsidRPr="00AA14F8" w:rsidRDefault="00AA14F8" w:rsidP="00AA14F8">
            <w:pPr>
              <w:spacing w:line="259" w:lineRule="auto"/>
              <w:jc w:val="right"/>
            </w:pPr>
            <w:r>
              <w:t>0</w:t>
            </w:r>
          </w:p>
        </w:tc>
        <w:tc>
          <w:tcPr>
            <w:tcW w:w="2671" w:type="dxa"/>
          </w:tcPr>
          <w:p w14:paraId="164A6590" w14:textId="53A74949" w:rsidR="00AA14F8" w:rsidRPr="00AA14F8" w:rsidRDefault="00AA14F8" w:rsidP="00AA14F8">
            <w:pPr>
              <w:spacing w:line="259" w:lineRule="auto"/>
              <w:jc w:val="right"/>
            </w:pPr>
            <w:r>
              <w:t>0</w:t>
            </w:r>
          </w:p>
        </w:tc>
      </w:tr>
      <w:tr w:rsidR="00AA14F8" w:rsidRPr="00AA14F8" w14:paraId="2893B7CE" w14:textId="77777777" w:rsidTr="00AF2234">
        <w:tc>
          <w:tcPr>
            <w:tcW w:w="4528" w:type="dxa"/>
          </w:tcPr>
          <w:p w14:paraId="3F5226D9" w14:textId="2A1875EB" w:rsidR="00AA14F8" w:rsidRPr="00AA14F8" w:rsidRDefault="00AA14F8" w:rsidP="00AA14F8">
            <w:pPr>
              <w:spacing w:line="259" w:lineRule="auto"/>
              <w:rPr>
                <w:b/>
                <w:bCs/>
              </w:rPr>
            </w:pPr>
            <w:r>
              <w:rPr>
                <w:b/>
              </w:rPr>
              <w:t>Summe</w:t>
            </w:r>
          </w:p>
        </w:tc>
        <w:tc>
          <w:tcPr>
            <w:tcW w:w="2552" w:type="dxa"/>
          </w:tcPr>
          <w:p w14:paraId="4DA93A75" w14:textId="07708840" w:rsidR="00AA14F8" w:rsidRPr="00AA14F8" w:rsidRDefault="00AA14F8" w:rsidP="00AA14F8">
            <w:pPr>
              <w:spacing w:line="259" w:lineRule="auto"/>
              <w:jc w:val="right"/>
              <w:rPr>
                <w:b/>
                <w:bCs/>
              </w:rPr>
            </w:pPr>
            <w:r>
              <w:rPr>
                <w:b/>
              </w:rPr>
              <w:t>0</w:t>
            </w:r>
          </w:p>
        </w:tc>
        <w:tc>
          <w:tcPr>
            <w:tcW w:w="2671" w:type="dxa"/>
          </w:tcPr>
          <w:p w14:paraId="70347C5C" w14:textId="0327A47E" w:rsidR="00AA14F8" w:rsidRPr="00AA14F8" w:rsidRDefault="00AA14F8" w:rsidP="00AA14F8">
            <w:pPr>
              <w:spacing w:line="259" w:lineRule="auto"/>
              <w:jc w:val="right"/>
              <w:rPr>
                <w:b/>
                <w:bCs/>
              </w:rPr>
            </w:pPr>
            <w:r>
              <w:rPr>
                <w:b/>
              </w:rPr>
              <w:t>0</w:t>
            </w:r>
          </w:p>
        </w:tc>
      </w:tr>
    </w:tbl>
    <w:p w14:paraId="6E123252" w14:textId="2606B861" w:rsidR="002800E3" w:rsidRDefault="002800E3" w:rsidP="00B97D72">
      <w:pPr>
        <w:spacing w:line="259" w:lineRule="auto"/>
        <w:rPr>
          <w:sz w:val="22"/>
          <w:szCs w:val="22"/>
        </w:rPr>
      </w:pPr>
    </w:p>
    <w:p w14:paraId="6ADC2918" w14:textId="77777777" w:rsidR="005377CE" w:rsidRPr="00AD1EE2" w:rsidRDefault="005377CE" w:rsidP="00B97D72">
      <w:pPr>
        <w:spacing w:line="259" w:lineRule="auto"/>
        <w:rPr>
          <w:sz w:val="22"/>
          <w:szCs w:val="22"/>
        </w:rPr>
      </w:pPr>
    </w:p>
    <w:p w14:paraId="1B3A2295" w14:textId="6C28813F" w:rsidR="002800E3" w:rsidRPr="00AD1EE2" w:rsidRDefault="002800E3" w:rsidP="005377CE">
      <w:pPr>
        <w:pStyle w:val="Nadpis1"/>
        <w:spacing w:after="560"/>
      </w:pPr>
      <w:bookmarkStart w:id="23" w:name="_Toc167784888"/>
      <w:r>
        <w:t>RISIKEN</w:t>
      </w:r>
      <w:bookmarkEnd w:id="23"/>
    </w:p>
    <w:p w14:paraId="204D69C6" w14:textId="04569A52" w:rsidR="002800E3" w:rsidRPr="00AD1EE2" w:rsidRDefault="002800E3" w:rsidP="005377CE">
      <w:pPr>
        <w:pStyle w:val="Nadpis2"/>
        <w:spacing w:after="120"/>
      </w:pPr>
      <w:bookmarkStart w:id="24" w:name="_Toc167784889"/>
      <w:r>
        <w:t>WÄHRUNGSRISIKO</w:t>
      </w:r>
      <w:bookmarkEnd w:id="24"/>
    </w:p>
    <w:p w14:paraId="54DF9AE2" w14:textId="13F5EEB8" w:rsidR="002800E3" w:rsidRPr="00AD1EE2" w:rsidRDefault="00410618" w:rsidP="005377CE">
      <w:pPr>
        <w:spacing w:line="259" w:lineRule="auto"/>
        <w:jc w:val="both"/>
        <w:rPr>
          <w:sz w:val="22"/>
          <w:szCs w:val="22"/>
        </w:rPr>
      </w:pPr>
      <w:r>
        <w:rPr>
          <w:noProof/>
        </w:rPr>
        <w:drawing>
          <wp:anchor distT="0" distB="0" distL="114300" distR="114300" simplePos="0" relativeHeight="251681792" behindDoc="1" locked="0" layoutInCell="1" allowOverlap="1" wp14:anchorId="5BE2D30E" wp14:editId="267D6374">
            <wp:simplePos x="0" y="0"/>
            <wp:positionH relativeFrom="margin">
              <wp:posOffset>4198620</wp:posOffset>
            </wp:positionH>
            <wp:positionV relativeFrom="bottomMargin">
              <wp:posOffset>-9855</wp:posOffset>
            </wp:positionV>
            <wp:extent cx="917575" cy="923290"/>
            <wp:effectExtent l="0" t="0" r="0" b="0"/>
            <wp:wrapNone/>
            <wp:docPr id="28"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rPr>
          <w:sz w:val="22"/>
        </w:rPr>
        <w:t>Der Fonds tätigt keine Transaktionen in Fremdwährung. Ein mit Wechselkursschwankungen verbundenes Risiko besteht somit nicht. Das Aussetzen einem Währungsrisiko ist gleich Null.</w:t>
      </w:r>
      <w:r>
        <w:t xml:space="preserve"> </w:t>
      </w:r>
    </w:p>
    <w:p w14:paraId="72963709" w14:textId="77777777" w:rsidR="002800E3" w:rsidRPr="00AD1EE2" w:rsidRDefault="002800E3" w:rsidP="00410618">
      <w:pPr>
        <w:spacing w:line="259" w:lineRule="auto"/>
        <w:rPr>
          <w:sz w:val="22"/>
          <w:szCs w:val="22"/>
        </w:rPr>
      </w:pPr>
      <w:r>
        <w:rPr>
          <w:sz w:val="22"/>
        </w:rPr>
        <w:lastRenderedPageBreak/>
        <w:t>Alle Vermögenswerte des Fonds zum 31.12.2023 lauten auf CZK.</w:t>
      </w:r>
    </w:p>
    <w:p w14:paraId="07CA3ADA" w14:textId="25832C06" w:rsidR="002800E3" w:rsidRPr="00AD1EE2" w:rsidRDefault="002800E3" w:rsidP="00410618">
      <w:pPr>
        <w:pStyle w:val="Nadpis2"/>
        <w:spacing w:before="760" w:after="160"/>
      </w:pPr>
      <w:bookmarkStart w:id="25" w:name="_Toc167784890"/>
      <w:r>
        <w:t>KREDITRISIKO</w:t>
      </w:r>
      <w:bookmarkEnd w:id="25"/>
    </w:p>
    <w:p w14:paraId="744063EE" w14:textId="7182A5FD" w:rsidR="002800E3" w:rsidRPr="00AD1EE2" w:rsidRDefault="002800E3" w:rsidP="000264B5">
      <w:pPr>
        <w:spacing w:after="600" w:line="259" w:lineRule="auto"/>
        <w:jc w:val="both"/>
        <w:rPr>
          <w:sz w:val="22"/>
          <w:szCs w:val="22"/>
        </w:rPr>
      </w:pPr>
      <w:r>
        <w:rPr>
          <w:sz w:val="22"/>
        </w:rPr>
        <w:t>Das Kreditrisiko ist ein Risiko, das sich aus der Unfähigkeit oder der mangelnden Bereitschaft der Gegenpartei ergibt, ihren vertraglichen Pflichten nachzukommen, und das insbesondere aus Forderungen gegenüber Kunden entsteht. Das Kreditrisiko ergibt sich hauptsächlich aus gewährten Darlehen.</w:t>
      </w:r>
    </w:p>
    <w:p w14:paraId="65469E24" w14:textId="25CAFD6A" w:rsidR="002800E3" w:rsidRPr="00AD1EE2" w:rsidRDefault="002800E3" w:rsidP="00410618">
      <w:pPr>
        <w:spacing w:line="259" w:lineRule="auto"/>
        <w:jc w:val="both"/>
        <w:rPr>
          <w:sz w:val="22"/>
          <w:szCs w:val="22"/>
        </w:rPr>
      </w:pPr>
      <w:r>
        <w:rPr>
          <w:sz w:val="22"/>
        </w:rPr>
        <w:t xml:space="preserve">Die finanziellen Vermögenswerte in voller Höhe werden durch eine Forderung gegenüber </w:t>
      </w:r>
      <w:proofErr w:type="spellStart"/>
      <w:r>
        <w:rPr>
          <w:sz w:val="22"/>
        </w:rPr>
        <w:t>Podfond</w:t>
      </w:r>
      <w:proofErr w:type="spellEnd"/>
      <w:r>
        <w:rPr>
          <w:sz w:val="22"/>
        </w:rPr>
        <w:t xml:space="preserve"> gebildet. Das Kreditrisiko wird als gering eingeschätzt.</w:t>
      </w:r>
    </w:p>
    <w:p w14:paraId="3A82A6D8" w14:textId="77777777" w:rsidR="00410618" w:rsidRDefault="00410618" w:rsidP="00410618">
      <w:pPr>
        <w:spacing w:line="259" w:lineRule="auto"/>
        <w:jc w:val="both"/>
        <w:rPr>
          <w:sz w:val="22"/>
          <w:szCs w:val="22"/>
        </w:rPr>
      </w:pPr>
    </w:p>
    <w:p w14:paraId="612DAE82" w14:textId="3C26E096" w:rsidR="002800E3" w:rsidRPr="00410618" w:rsidRDefault="002800E3" w:rsidP="00410618">
      <w:pPr>
        <w:spacing w:after="240" w:line="259" w:lineRule="auto"/>
        <w:jc w:val="both"/>
        <w:rPr>
          <w:b/>
          <w:bCs/>
          <w:sz w:val="22"/>
          <w:szCs w:val="22"/>
        </w:rPr>
      </w:pPr>
      <w:r>
        <w:rPr>
          <w:b/>
          <w:sz w:val="22"/>
        </w:rPr>
        <w:t>Geografische Konzentration von Risiken</w:t>
      </w:r>
    </w:p>
    <w:p w14:paraId="308C8C7E" w14:textId="414789D4" w:rsidR="002800E3" w:rsidRPr="00AD1EE2" w:rsidRDefault="002800E3" w:rsidP="00410618">
      <w:pPr>
        <w:spacing w:line="259" w:lineRule="auto"/>
        <w:jc w:val="both"/>
        <w:rPr>
          <w:sz w:val="22"/>
          <w:szCs w:val="22"/>
        </w:rPr>
      </w:pPr>
      <w:r>
        <w:rPr>
          <w:sz w:val="22"/>
        </w:rPr>
        <w:t>Alle Vermögenswerte des Fonds befinden sich in der Tschechischen Republik.</w:t>
      </w:r>
    </w:p>
    <w:p w14:paraId="1AF67A65" w14:textId="3A2E2634" w:rsidR="002800E3" w:rsidRPr="00AD1EE2" w:rsidRDefault="002800E3" w:rsidP="00410618">
      <w:pPr>
        <w:pStyle w:val="Nadpis2"/>
        <w:spacing w:before="200" w:after="400"/>
      </w:pPr>
      <w:bookmarkStart w:id="26" w:name="_Toc167784891"/>
      <w:r>
        <w:t>LIQUIDITÄTSRISIKO</w:t>
      </w:r>
      <w:bookmarkEnd w:id="26"/>
    </w:p>
    <w:p w14:paraId="7CC22624" w14:textId="77777777" w:rsidR="002800E3" w:rsidRPr="00AD1EE2" w:rsidRDefault="002800E3" w:rsidP="00410618">
      <w:pPr>
        <w:spacing w:line="259" w:lineRule="auto"/>
        <w:jc w:val="both"/>
        <w:rPr>
          <w:sz w:val="22"/>
          <w:szCs w:val="22"/>
        </w:rPr>
      </w:pPr>
      <w:r>
        <w:rPr>
          <w:sz w:val="22"/>
        </w:rPr>
        <w:t>Das Liquiditätsrisiko bezieht sich auf die Fähigkeit des Fonds, seinen fälligen Verbindlichkeiten nachzukommen. Zum 31.12.2023 erfasst der Fonds keine Verbindlichkeiten gegenüber Banken oder Nichtbanken.</w:t>
      </w:r>
    </w:p>
    <w:p w14:paraId="3F3E2EC9" w14:textId="777745A2" w:rsidR="002800E3" w:rsidRPr="00AD1EE2" w:rsidRDefault="002800E3" w:rsidP="00410618">
      <w:pPr>
        <w:pStyle w:val="Nadpis1"/>
        <w:spacing w:before="520" w:after="240"/>
      </w:pPr>
      <w:bookmarkStart w:id="27" w:name="_Toc167784892"/>
      <w:r>
        <w:t>EREIGNISSE NACH DEM BILANZSTICHTAG</w:t>
      </w:r>
      <w:bookmarkEnd w:id="27"/>
    </w:p>
    <w:p w14:paraId="4F95AAA9" w14:textId="77777777" w:rsidR="002800E3" w:rsidRPr="00AD1EE2" w:rsidRDefault="002800E3" w:rsidP="00410618">
      <w:pPr>
        <w:spacing w:line="259" w:lineRule="auto"/>
        <w:jc w:val="both"/>
        <w:rPr>
          <w:sz w:val="22"/>
          <w:szCs w:val="22"/>
        </w:rPr>
      </w:pPr>
      <w:r>
        <w:rPr>
          <w:sz w:val="22"/>
        </w:rPr>
        <w:t>Zwischen dem Bilanzstichtag und dem Tag der Aufstellung des Jahresabschlusses sind keine anderen wesentlichen Ereignisse eingetreten, die den Jahresabschluss zum 31. Dezember 2023 beeinflussen würden.</w:t>
      </w:r>
    </w:p>
    <w:p w14:paraId="1C25A862" w14:textId="77777777" w:rsidR="00410618" w:rsidRDefault="00410618" w:rsidP="00410618">
      <w:pPr>
        <w:spacing w:line="259" w:lineRule="auto"/>
        <w:jc w:val="both"/>
        <w:rPr>
          <w:sz w:val="22"/>
          <w:szCs w:val="22"/>
        </w:rPr>
      </w:pPr>
    </w:p>
    <w:p w14:paraId="1106533D" w14:textId="77777777" w:rsidR="00410618" w:rsidRDefault="00410618" w:rsidP="00410618">
      <w:pPr>
        <w:spacing w:line="259" w:lineRule="auto"/>
        <w:jc w:val="both"/>
        <w:rPr>
          <w:sz w:val="22"/>
          <w:szCs w:val="22"/>
        </w:rPr>
      </w:pPr>
    </w:p>
    <w:p w14:paraId="2500531D" w14:textId="77777777" w:rsidR="00410618" w:rsidRDefault="00410618" w:rsidP="00410618">
      <w:pPr>
        <w:spacing w:line="259" w:lineRule="auto"/>
        <w:jc w:val="both"/>
        <w:rPr>
          <w:sz w:val="22"/>
          <w:szCs w:val="22"/>
        </w:rPr>
      </w:pPr>
    </w:p>
    <w:p w14:paraId="342F167B" w14:textId="77777777" w:rsidR="00410618" w:rsidRDefault="00410618" w:rsidP="00410618">
      <w:pPr>
        <w:spacing w:line="259" w:lineRule="auto"/>
        <w:jc w:val="both"/>
        <w:rPr>
          <w:sz w:val="22"/>
          <w:szCs w:val="22"/>
        </w:rPr>
      </w:pPr>
    </w:p>
    <w:p w14:paraId="3ED7A633" w14:textId="77777777" w:rsidR="00410618" w:rsidRDefault="00410618" w:rsidP="00410618">
      <w:pPr>
        <w:spacing w:line="259" w:lineRule="auto"/>
        <w:jc w:val="both"/>
        <w:rPr>
          <w:sz w:val="22"/>
          <w:szCs w:val="22"/>
        </w:rPr>
      </w:pPr>
    </w:p>
    <w:p w14:paraId="3BC106D6" w14:textId="0D7E3C30" w:rsidR="002800E3" w:rsidRPr="00AD1EE2" w:rsidRDefault="002800E3" w:rsidP="00410618">
      <w:pPr>
        <w:tabs>
          <w:tab w:val="left" w:pos="2694"/>
        </w:tabs>
        <w:spacing w:before="60" w:line="259" w:lineRule="auto"/>
        <w:ind w:left="113"/>
        <w:jc w:val="both"/>
        <w:rPr>
          <w:sz w:val="22"/>
          <w:szCs w:val="22"/>
        </w:rPr>
      </w:pPr>
      <w:r>
        <w:rPr>
          <w:sz w:val="22"/>
          <w:u w:val="single"/>
        </w:rPr>
        <w:t>Datum der Aufstellung</w:t>
      </w:r>
      <w:r>
        <w:rPr>
          <w:sz w:val="22"/>
        </w:rPr>
        <w:tab/>
      </w:r>
      <w:r>
        <w:rPr>
          <w:sz w:val="22"/>
          <w:u w:val="single"/>
        </w:rPr>
        <w:t>Unterschrift des gesetzlich vorgesehenen Vertreters</w:t>
      </w:r>
    </w:p>
    <w:p w14:paraId="3D38A050" w14:textId="77777777" w:rsidR="00410618" w:rsidRDefault="00410618" w:rsidP="00410618">
      <w:pPr>
        <w:tabs>
          <w:tab w:val="left" w:pos="2694"/>
        </w:tabs>
        <w:spacing w:line="259" w:lineRule="auto"/>
        <w:ind w:left="113"/>
        <w:jc w:val="both"/>
        <w:rPr>
          <w:sz w:val="22"/>
          <w:szCs w:val="22"/>
        </w:rPr>
      </w:pPr>
    </w:p>
    <w:p w14:paraId="2D25916E" w14:textId="6C925DF4" w:rsidR="00410618" w:rsidRDefault="00410618" w:rsidP="00410618">
      <w:pPr>
        <w:tabs>
          <w:tab w:val="left" w:pos="2694"/>
        </w:tabs>
        <w:spacing w:before="60" w:after="120" w:line="259" w:lineRule="auto"/>
        <w:ind w:left="3005"/>
        <w:jc w:val="both"/>
        <w:rPr>
          <w:sz w:val="22"/>
          <w:szCs w:val="22"/>
        </w:rPr>
      </w:pPr>
      <w:r>
        <w:rPr>
          <w:noProof/>
        </w:rPr>
        <w:drawing>
          <wp:inline distT="0" distB="0" distL="0" distR="0" wp14:anchorId="462B5160" wp14:editId="5480434D">
            <wp:extent cx="1767840" cy="597535"/>
            <wp:effectExtent l="0" t="0" r="3810" b="0"/>
            <wp:docPr id="36" name="Shape 31" descr="Obsah obrázku rukopis, kaligrafie, Písmo, napsané rukou&#10;&#10;Popis byl vytvořen automaticky"/>
            <wp:cNvGraphicFramePr/>
            <a:graphic xmlns:a="http://schemas.openxmlformats.org/drawingml/2006/main">
              <a:graphicData uri="http://schemas.openxmlformats.org/drawingml/2006/picture">
                <pic:pic xmlns:pic="http://schemas.openxmlformats.org/drawingml/2006/picture">
                  <pic:nvPicPr>
                    <pic:cNvPr id="36" name="Shape 31" descr="Obsah obrázku rukopis, kaligrafie, Písmo, napsané rukou&#10;&#10;Popis byl vytvořen automaticky"/>
                    <pic:cNvPicPr/>
                  </pic:nvPicPr>
                  <pic:blipFill>
                    <a:blip r:embed="rId34" cstate="print">
                      <a:extLst>
                        <a:ext uri="{28A0092B-C50C-407E-A947-70E740481C1C}">
                          <a14:useLocalDpi xmlns:a14="http://schemas.microsoft.com/office/drawing/2010/main" val="0"/>
                        </a:ext>
                      </a:extLst>
                    </a:blip>
                    <a:stretch/>
                  </pic:blipFill>
                  <pic:spPr>
                    <a:xfrm>
                      <a:off x="0" y="0"/>
                      <a:ext cx="1767840" cy="597535"/>
                    </a:xfrm>
                    <a:prstGeom prst="rect">
                      <a:avLst/>
                    </a:prstGeom>
                  </pic:spPr>
                </pic:pic>
              </a:graphicData>
            </a:graphic>
          </wp:inline>
        </w:drawing>
      </w:r>
    </w:p>
    <w:p w14:paraId="773019BA" w14:textId="154902A7" w:rsidR="002800E3" w:rsidRPr="000F3A73" w:rsidRDefault="002800E3" w:rsidP="00410618">
      <w:pPr>
        <w:spacing w:line="259" w:lineRule="auto"/>
        <w:ind w:left="2694"/>
        <w:jc w:val="both"/>
        <w:rPr>
          <w:sz w:val="22"/>
          <w:szCs w:val="22"/>
          <w:lang w:val="en-GB"/>
        </w:rPr>
      </w:pPr>
      <w:r w:rsidRPr="000F3A73">
        <w:rPr>
          <w:sz w:val="22"/>
          <w:lang w:val="en-GB"/>
        </w:rPr>
        <w:t xml:space="preserve">ZDR Investments SICAV </w:t>
      </w:r>
      <w:proofErr w:type="spellStart"/>
      <w:r w:rsidRPr="000F3A73">
        <w:rPr>
          <w:sz w:val="22"/>
          <w:lang w:val="en-GB"/>
        </w:rPr>
        <w:t>a.s.</w:t>
      </w:r>
      <w:proofErr w:type="spellEnd"/>
    </w:p>
    <w:p w14:paraId="5B411257" w14:textId="77777777" w:rsidR="00410618" w:rsidRDefault="002800E3" w:rsidP="00410618">
      <w:pPr>
        <w:spacing w:line="259" w:lineRule="auto"/>
        <w:ind w:left="2694"/>
        <w:jc w:val="both"/>
        <w:rPr>
          <w:sz w:val="22"/>
          <w:szCs w:val="22"/>
        </w:rPr>
      </w:pPr>
      <w:r>
        <w:rPr>
          <w:sz w:val="22"/>
        </w:rPr>
        <w:t xml:space="preserve">Ing. Robert </w:t>
      </w:r>
      <w:proofErr w:type="spellStart"/>
      <w:r>
        <w:rPr>
          <w:sz w:val="22"/>
        </w:rPr>
        <w:t>Hlava</w:t>
      </w:r>
      <w:proofErr w:type="spellEnd"/>
    </w:p>
    <w:p w14:paraId="54850E3D" w14:textId="77777777" w:rsidR="000264B5" w:rsidRDefault="002800E3" w:rsidP="00410618">
      <w:pPr>
        <w:spacing w:line="259" w:lineRule="auto"/>
        <w:ind w:left="2694"/>
        <w:jc w:val="both"/>
        <w:rPr>
          <w:sz w:val="22"/>
        </w:rPr>
      </w:pPr>
      <w:r>
        <w:rPr>
          <w:sz w:val="22"/>
        </w:rPr>
        <w:t>beauftragter Bevollmächtigter des einzigen Mitglieds</w:t>
      </w:r>
    </w:p>
    <w:p w14:paraId="0A65B920" w14:textId="60E01F84" w:rsidR="00410618" w:rsidRDefault="000264B5" w:rsidP="000264B5">
      <w:pPr>
        <w:tabs>
          <w:tab w:val="left" w:pos="2694"/>
        </w:tabs>
        <w:spacing w:line="259" w:lineRule="auto"/>
        <w:ind w:left="283"/>
        <w:jc w:val="both"/>
        <w:rPr>
          <w:sz w:val="22"/>
          <w:szCs w:val="22"/>
        </w:rPr>
      </w:pPr>
      <w:r>
        <w:rPr>
          <w:noProof/>
        </w:rPr>
        <w:drawing>
          <wp:anchor distT="0" distB="0" distL="114300" distR="114300" simplePos="0" relativeHeight="251700224" behindDoc="1" locked="0" layoutInCell="1" allowOverlap="1" wp14:anchorId="39C59BEA" wp14:editId="6CFB2277">
            <wp:simplePos x="0" y="0"/>
            <wp:positionH relativeFrom="margin">
              <wp:posOffset>4520794</wp:posOffset>
            </wp:positionH>
            <wp:positionV relativeFrom="bottomMargin">
              <wp:posOffset>-296570</wp:posOffset>
            </wp:positionV>
            <wp:extent cx="917575" cy="923290"/>
            <wp:effectExtent l="0" t="0" r="0" b="0"/>
            <wp:wrapNone/>
            <wp:docPr id="37" name="Picutre 26" descr="Obsah obrázku Písmo, symbol, text, logo&#10;&#10;Popis byl vytvořen automaticky"/>
            <wp:cNvGraphicFramePr/>
            <a:graphic xmlns:a="http://schemas.openxmlformats.org/drawingml/2006/main">
              <a:graphicData uri="http://schemas.openxmlformats.org/drawingml/2006/picture">
                <pic:pic xmlns:pic="http://schemas.openxmlformats.org/drawingml/2006/picture">
                  <pic:nvPicPr>
                    <pic:cNvPr id="3" name="Picutre 26" descr="Obsah obrázku Písmo, symbol, text, logo&#10;&#10;Popis byl vytvořen automaticky"/>
                    <pic:cNvPicPr/>
                  </pic:nvPicPr>
                  <pic:blipFill>
                    <a:blip r:embed="rId31" cstate="print">
                      <a:extLst>
                        <a:ext uri="{28A0092B-C50C-407E-A947-70E740481C1C}">
                          <a14:useLocalDpi xmlns:a14="http://schemas.microsoft.com/office/drawing/2010/main" val="0"/>
                        </a:ext>
                      </a:extLst>
                    </a:blip>
                    <a:stretch/>
                  </pic:blipFill>
                  <pic:spPr>
                    <a:xfrm>
                      <a:off x="0" y="0"/>
                      <a:ext cx="917575" cy="923290"/>
                    </a:xfrm>
                    <a:prstGeom prst="rect">
                      <a:avLst/>
                    </a:prstGeom>
                  </pic:spPr>
                </pic:pic>
              </a:graphicData>
            </a:graphic>
          </wp:anchor>
        </w:drawing>
      </w:r>
      <w:r>
        <w:rPr>
          <w:sz w:val="22"/>
        </w:rPr>
        <w:t>30. April 2024</w:t>
      </w:r>
      <w:r>
        <w:rPr>
          <w:sz w:val="22"/>
        </w:rPr>
        <w:tab/>
      </w:r>
      <w:r w:rsidR="002800E3">
        <w:rPr>
          <w:sz w:val="22"/>
        </w:rPr>
        <w:t>des Verwaltungsrats der CODYA</w:t>
      </w:r>
      <w:r w:rsidRPr="000264B5">
        <w:rPr>
          <w:sz w:val="22"/>
        </w:rPr>
        <w:t xml:space="preserve"> </w:t>
      </w:r>
      <w:proofErr w:type="spellStart"/>
      <w:r>
        <w:rPr>
          <w:sz w:val="22"/>
        </w:rPr>
        <w:t>investiční</w:t>
      </w:r>
      <w:proofErr w:type="spellEnd"/>
      <w:r>
        <w:rPr>
          <w:sz w:val="22"/>
        </w:rPr>
        <w:t xml:space="preserve"> </w:t>
      </w:r>
      <w:proofErr w:type="spellStart"/>
      <w:r>
        <w:rPr>
          <w:sz w:val="22"/>
        </w:rPr>
        <w:t>společnost</w:t>
      </w:r>
      <w:proofErr w:type="spellEnd"/>
      <w:r>
        <w:rPr>
          <w:sz w:val="22"/>
        </w:rPr>
        <w:t xml:space="preserve">, </w:t>
      </w:r>
      <w:proofErr w:type="spellStart"/>
      <w:r>
        <w:rPr>
          <w:sz w:val="22"/>
        </w:rPr>
        <w:t>a.s.</w:t>
      </w:r>
      <w:proofErr w:type="spellEnd"/>
    </w:p>
    <w:p w14:paraId="7D4E5B36" w14:textId="77777777" w:rsidR="000264B5" w:rsidRPr="00AD1EE2" w:rsidRDefault="000264B5">
      <w:pPr>
        <w:tabs>
          <w:tab w:val="left" w:pos="2694"/>
        </w:tabs>
        <w:spacing w:line="259" w:lineRule="auto"/>
        <w:ind w:left="283"/>
        <w:jc w:val="both"/>
        <w:rPr>
          <w:sz w:val="22"/>
          <w:szCs w:val="22"/>
        </w:rPr>
      </w:pPr>
    </w:p>
    <w:sectPr w:rsidR="000264B5" w:rsidRPr="00AD1EE2" w:rsidSect="009411DC">
      <w:headerReference w:type="default" r:id="rId35"/>
      <w:footerReference w:type="default" r:id="rId36"/>
      <w:pgSz w:w="11906" w:h="16838" w:code="9"/>
      <w:pgMar w:top="2268" w:right="1134" w:bottom="1418" w:left="1077" w:header="1474" w:footer="1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46AB" w14:textId="77777777" w:rsidR="004B2D7E" w:rsidRDefault="004B2D7E" w:rsidP="002800E3">
      <w:r>
        <w:separator/>
      </w:r>
    </w:p>
  </w:endnote>
  <w:endnote w:type="continuationSeparator" w:id="0">
    <w:p w14:paraId="47153CDE" w14:textId="77777777" w:rsidR="004B2D7E" w:rsidRDefault="004B2D7E" w:rsidP="0028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6076" w14:textId="77777777" w:rsidR="00C5470D" w:rsidRPr="000F3A73" w:rsidRDefault="00C5470D" w:rsidP="00C5470D">
    <w:pPr>
      <w:tabs>
        <w:tab w:val="left" w:pos="2694"/>
      </w:tabs>
      <w:spacing w:line="205" w:lineRule="exact"/>
      <w:ind w:left="227"/>
      <w:rPr>
        <w:b/>
        <w:bCs/>
        <w:sz w:val="16"/>
        <w:szCs w:val="16"/>
        <w:lang w:val="en-GB"/>
      </w:rPr>
    </w:pPr>
    <w:r w:rsidRPr="000F3A73">
      <w:rPr>
        <w:b/>
        <w:sz w:val="16"/>
        <w:lang w:val="en-GB"/>
      </w:rPr>
      <w:t xml:space="preserve">TPA Audit </w:t>
    </w:r>
    <w:proofErr w:type="spellStart"/>
    <w:r w:rsidRPr="000F3A73">
      <w:rPr>
        <w:b/>
        <w:sz w:val="16"/>
        <w:lang w:val="en-GB"/>
      </w:rPr>
      <w:t>s.r.o.</w:t>
    </w:r>
    <w:proofErr w:type="spellEnd"/>
  </w:p>
  <w:p w14:paraId="6CE4851A" w14:textId="77777777" w:rsidR="00C5470D" w:rsidRPr="00C5470D" w:rsidRDefault="00C5470D" w:rsidP="00C5470D">
    <w:pPr>
      <w:spacing w:line="205" w:lineRule="exact"/>
      <w:ind w:left="227"/>
      <w:rPr>
        <w:sz w:val="16"/>
        <w:szCs w:val="16"/>
      </w:rPr>
    </w:pPr>
    <w:r>
      <w:rPr>
        <w:sz w:val="16"/>
      </w:rPr>
      <w:t xml:space="preserve">140 00 Praha 4, </w:t>
    </w:r>
    <w:proofErr w:type="spellStart"/>
    <w:r>
      <w:rPr>
        <w:sz w:val="16"/>
      </w:rPr>
      <w:t>Antala</w:t>
    </w:r>
    <w:proofErr w:type="spellEnd"/>
    <w:r>
      <w:rPr>
        <w:sz w:val="16"/>
      </w:rPr>
      <w:t xml:space="preserve"> </w:t>
    </w:r>
    <w:proofErr w:type="spellStart"/>
    <w:r>
      <w:rPr>
        <w:sz w:val="16"/>
      </w:rPr>
      <w:t>Staška</w:t>
    </w:r>
    <w:proofErr w:type="spellEnd"/>
    <w:r>
      <w:rPr>
        <w:sz w:val="16"/>
      </w:rPr>
      <w:t xml:space="preserve"> 2027/79</w:t>
    </w:r>
  </w:p>
  <w:p w14:paraId="19FEF5D7" w14:textId="1884393C" w:rsidR="00C5470D" w:rsidRPr="00C5470D" w:rsidRDefault="00C5470D" w:rsidP="00C5470D">
    <w:pPr>
      <w:spacing w:line="205" w:lineRule="exact"/>
      <w:ind w:left="227"/>
      <w:rPr>
        <w:sz w:val="16"/>
        <w:szCs w:val="16"/>
      </w:rPr>
    </w:pPr>
    <w:r>
      <w:rPr>
        <w:sz w:val="16"/>
      </w:rPr>
      <w:t>Tel.: +420 222 826 311, E-Mail: audit@tpa-group.cz, www.tpa-group.cz</w:t>
    </w:r>
  </w:p>
  <w:p w14:paraId="3562D964" w14:textId="5DD46FAF" w:rsidR="00C5470D" w:rsidRPr="00C5470D" w:rsidRDefault="00C5470D" w:rsidP="00C5470D">
    <w:pPr>
      <w:spacing w:line="205" w:lineRule="exact"/>
      <w:ind w:left="227"/>
      <w:rPr>
        <w:sz w:val="16"/>
        <w:szCs w:val="16"/>
      </w:rPr>
    </w:pPr>
    <w:r>
      <w:rPr>
        <w:sz w:val="16"/>
      </w:rPr>
      <w:t xml:space="preserve">Niederlassungen: 746 01 Opava, </w:t>
    </w:r>
    <w:proofErr w:type="spellStart"/>
    <w:r>
      <w:rPr>
        <w:sz w:val="16"/>
      </w:rPr>
      <w:t>Veleslavínova</w:t>
    </w:r>
    <w:proofErr w:type="spellEnd"/>
    <w:r>
      <w:rPr>
        <w:sz w:val="16"/>
      </w:rPr>
      <w:t xml:space="preserve"> 240/8, Tel.: +420 553 622 565</w:t>
    </w:r>
  </w:p>
  <w:p w14:paraId="43710F49" w14:textId="1F5D57C6" w:rsidR="00C5470D" w:rsidRPr="00C5470D" w:rsidRDefault="00C5470D" w:rsidP="00C5470D">
    <w:pPr>
      <w:spacing w:line="205" w:lineRule="exact"/>
      <w:ind w:left="227"/>
      <w:rPr>
        <w:sz w:val="16"/>
        <w:szCs w:val="16"/>
      </w:rPr>
    </w:pPr>
    <w:r>
      <w:rPr>
        <w:noProof/>
      </w:rPr>
      <w:drawing>
        <wp:anchor distT="0" distB="0" distL="114300" distR="114300" simplePos="0" relativeHeight="251663360" behindDoc="1" locked="0" layoutInCell="1" allowOverlap="1" wp14:anchorId="1EF5E0AA" wp14:editId="5AFD0B43">
          <wp:simplePos x="0" y="0"/>
          <wp:positionH relativeFrom="page">
            <wp:align>right</wp:align>
          </wp:positionH>
          <wp:positionV relativeFrom="page">
            <wp:align>bottom</wp:align>
          </wp:positionV>
          <wp:extent cx="2018030" cy="956945"/>
          <wp:effectExtent l="0" t="0" r="1270" b="0"/>
          <wp:wrapNone/>
          <wp:docPr id="4" name="Shape 10" descr="Obsah obrázku text, Písmo, bílé, logo&#10;&#10;Popis byl vytvořen automaticky"/>
          <wp:cNvGraphicFramePr/>
          <a:graphic xmlns:a="http://schemas.openxmlformats.org/drawingml/2006/main">
            <a:graphicData uri="http://schemas.openxmlformats.org/drawingml/2006/picture">
              <pic:pic xmlns:pic="http://schemas.openxmlformats.org/drawingml/2006/picture">
                <pic:nvPicPr>
                  <pic:cNvPr id="10" name="Shape 10" descr="Obsah obrázku text, Písmo, bílé, logo&#10;&#10;Popis byl vytvořen automaticky"/>
                  <pic:cNvPicPr/>
                </pic:nvPicPr>
                <pic:blipFill>
                  <a:blip r:embed="rId1"/>
                  <a:stretch/>
                </pic:blipFill>
                <pic:spPr>
                  <a:xfrm>
                    <a:off x="0" y="0"/>
                    <a:ext cx="2018030" cy="956945"/>
                  </a:xfrm>
                  <a:prstGeom prst="rect">
                    <a:avLst/>
                  </a:prstGeom>
                </pic:spPr>
              </pic:pic>
            </a:graphicData>
          </a:graphic>
        </wp:anchor>
      </w:drawing>
    </w:r>
    <w:r>
      <w:rPr>
        <w:sz w:val="16"/>
      </w:rPr>
      <w:t>Ident.-Nr.: 60203480, Stadtgericht in Prag, Aktenzeichen C.25463</w:t>
    </w:r>
  </w:p>
  <w:p w14:paraId="15D32890" w14:textId="20386A83" w:rsidR="00C5470D" w:rsidRPr="00C5470D" w:rsidRDefault="00C5470D" w:rsidP="00C5470D">
    <w:pPr>
      <w:spacing w:line="205" w:lineRule="exact"/>
      <w:ind w:left="227"/>
      <w:rPr>
        <w:sz w:val="16"/>
        <w:szCs w:val="16"/>
      </w:rPr>
    </w:pPr>
    <w:r>
      <w:rPr>
        <w:sz w:val="16"/>
      </w:rPr>
      <w:t>Zulassung Nr. 80 der Wirtschaftsprüferkammer der Tschechischen Republik</w:t>
    </w:r>
  </w:p>
  <w:p w14:paraId="1B0C809E" w14:textId="391F6A67" w:rsidR="00C5470D" w:rsidRPr="00C5470D" w:rsidRDefault="00C5470D" w:rsidP="00C5470D">
    <w:pPr>
      <w:spacing w:line="205" w:lineRule="exact"/>
      <w:ind w:left="227"/>
      <w:rPr>
        <w:sz w:val="16"/>
        <w:szCs w:val="16"/>
      </w:rPr>
    </w:pPr>
  </w:p>
  <w:p w14:paraId="50E0A962" w14:textId="3413EFBA" w:rsidR="00C5470D" w:rsidRDefault="00C5470D" w:rsidP="00C5470D">
    <w:pPr>
      <w:spacing w:line="205" w:lineRule="exact"/>
      <w:ind w:left="227"/>
      <w:rPr>
        <w:sz w:val="16"/>
        <w:szCs w:val="16"/>
      </w:rPr>
    </w:pPr>
    <w:proofErr w:type="gramStart"/>
    <w:r>
      <w:rPr>
        <w:sz w:val="16"/>
      </w:rPr>
      <w:t xml:space="preserve">Albanien </w:t>
    </w:r>
    <w:r w:rsidR="000F3A73">
      <w:rPr>
        <w:sz w:val="16"/>
      </w:rPr>
      <w:t xml:space="preserve"> </w:t>
    </w:r>
    <w:r>
      <w:rPr>
        <w:sz w:val="16"/>
      </w:rPr>
      <w:t>|</w:t>
    </w:r>
    <w:proofErr w:type="gramEnd"/>
    <w:r w:rsidR="000F3A73">
      <w:rPr>
        <w:sz w:val="16"/>
      </w:rPr>
      <w:t xml:space="preserve"> </w:t>
    </w:r>
    <w:r>
      <w:rPr>
        <w:sz w:val="16"/>
      </w:rPr>
      <w:t xml:space="preserve"> Bulgarien </w:t>
    </w:r>
    <w:r w:rsidR="000F3A73">
      <w:rPr>
        <w:sz w:val="16"/>
      </w:rPr>
      <w:t xml:space="preserve"> </w:t>
    </w:r>
    <w:r>
      <w:rPr>
        <w:sz w:val="16"/>
      </w:rPr>
      <w:t>|</w:t>
    </w:r>
    <w:r w:rsidR="000F3A73">
      <w:rPr>
        <w:sz w:val="16"/>
      </w:rPr>
      <w:t xml:space="preserve"> </w:t>
    </w:r>
    <w:r>
      <w:rPr>
        <w:sz w:val="16"/>
      </w:rPr>
      <w:t xml:space="preserve"> Montenegro </w:t>
    </w:r>
    <w:r w:rsidR="000F3A73">
      <w:rPr>
        <w:sz w:val="16"/>
      </w:rPr>
      <w:t xml:space="preserve"> </w:t>
    </w:r>
    <w:r>
      <w:rPr>
        <w:sz w:val="16"/>
      </w:rPr>
      <w:t>|</w:t>
    </w:r>
    <w:r w:rsidR="000F3A73">
      <w:rPr>
        <w:sz w:val="16"/>
      </w:rPr>
      <w:t xml:space="preserve"> </w:t>
    </w:r>
    <w:r>
      <w:rPr>
        <w:sz w:val="16"/>
      </w:rPr>
      <w:t xml:space="preserve"> Tschechische Republik </w:t>
    </w:r>
    <w:r w:rsidR="000F3A73">
      <w:rPr>
        <w:sz w:val="16"/>
      </w:rPr>
      <w:t xml:space="preserve"> </w:t>
    </w:r>
    <w:r>
      <w:rPr>
        <w:sz w:val="16"/>
      </w:rPr>
      <w:t>|</w:t>
    </w:r>
    <w:r w:rsidR="000F3A73">
      <w:rPr>
        <w:sz w:val="16"/>
      </w:rPr>
      <w:t xml:space="preserve"> </w:t>
    </w:r>
    <w:r>
      <w:rPr>
        <w:sz w:val="16"/>
      </w:rPr>
      <w:t xml:space="preserve"> Kroatien </w:t>
    </w:r>
    <w:r w:rsidR="000F3A73">
      <w:rPr>
        <w:sz w:val="16"/>
      </w:rPr>
      <w:t xml:space="preserve"> </w:t>
    </w:r>
    <w:r>
      <w:rPr>
        <w:sz w:val="16"/>
      </w:rPr>
      <w:t>|</w:t>
    </w:r>
    <w:r w:rsidR="000F3A73">
      <w:rPr>
        <w:sz w:val="16"/>
      </w:rPr>
      <w:t xml:space="preserve"> </w:t>
    </w:r>
    <w:r>
      <w:rPr>
        <w:sz w:val="16"/>
      </w:rPr>
      <w:t xml:space="preserve"> Ungarn</w:t>
    </w:r>
  </w:p>
  <w:p w14:paraId="28DBC2D0" w14:textId="6D934EE0" w:rsidR="00C5470D" w:rsidRPr="00C5470D" w:rsidRDefault="00C5470D" w:rsidP="00C5470D">
    <w:pPr>
      <w:spacing w:line="205" w:lineRule="exact"/>
      <w:ind w:left="227"/>
      <w:rPr>
        <w:sz w:val="16"/>
        <w:szCs w:val="16"/>
      </w:rPr>
    </w:pPr>
    <w:proofErr w:type="gramStart"/>
    <w:r>
      <w:rPr>
        <w:sz w:val="16"/>
      </w:rPr>
      <w:t xml:space="preserve">Polen </w:t>
    </w:r>
    <w:r w:rsidR="000F3A73">
      <w:rPr>
        <w:sz w:val="16"/>
      </w:rPr>
      <w:t xml:space="preserve"> </w:t>
    </w:r>
    <w:r>
      <w:rPr>
        <w:sz w:val="16"/>
      </w:rPr>
      <w:t>|</w:t>
    </w:r>
    <w:proofErr w:type="gramEnd"/>
    <w:r w:rsidR="000F3A73">
      <w:rPr>
        <w:sz w:val="16"/>
      </w:rPr>
      <w:t xml:space="preserve"> </w:t>
    </w:r>
    <w:r>
      <w:rPr>
        <w:sz w:val="16"/>
      </w:rPr>
      <w:t xml:space="preserve"> Österreich </w:t>
    </w:r>
    <w:r w:rsidR="000F3A73">
      <w:rPr>
        <w:sz w:val="16"/>
      </w:rPr>
      <w:t xml:space="preserve"> </w:t>
    </w:r>
    <w:r>
      <w:rPr>
        <w:sz w:val="16"/>
      </w:rPr>
      <w:t>|</w:t>
    </w:r>
    <w:r w:rsidR="000F3A73">
      <w:rPr>
        <w:sz w:val="16"/>
      </w:rPr>
      <w:t xml:space="preserve"> </w:t>
    </w:r>
    <w:r>
      <w:rPr>
        <w:sz w:val="16"/>
      </w:rPr>
      <w:t xml:space="preserve"> Rumänien </w:t>
    </w:r>
    <w:r w:rsidR="000F3A73">
      <w:rPr>
        <w:sz w:val="16"/>
      </w:rPr>
      <w:t xml:space="preserve"> </w:t>
    </w:r>
    <w:r>
      <w:rPr>
        <w:sz w:val="16"/>
      </w:rPr>
      <w:t>|</w:t>
    </w:r>
    <w:r w:rsidR="000F3A73">
      <w:rPr>
        <w:sz w:val="16"/>
      </w:rPr>
      <w:t xml:space="preserve"> </w:t>
    </w:r>
    <w:r>
      <w:rPr>
        <w:sz w:val="16"/>
      </w:rPr>
      <w:t xml:space="preserve"> Slowakei </w:t>
    </w:r>
    <w:r w:rsidR="000F3A73">
      <w:rPr>
        <w:sz w:val="16"/>
      </w:rPr>
      <w:t xml:space="preserve"> </w:t>
    </w:r>
    <w:r>
      <w:rPr>
        <w:sz w:val="16"/>
      </w:rPr>
      <w:t>|</w:t>
    </w:r>
    <w:r w:rsidR="000F3A73">
      <w:rPr>
        <w:sz w:val="16"/>
      </w:rPr>
      <w:t xml:space="preserve"> </w:t>
    </w:r>
    <w:r>
      <w:rPr>
        <w:sz w:val="16"/>
      </w:rPr>
      <w:t xml:space="preserve"> Slowenien </w:t>
    </w:r>
    <w:r w:rsidR="000F3A73">
      <w:rPr>
        <w:sz w:val="16"/>
      </w:rPr>
      <w:t xml:space="preserve"> </w:t>
    </w:r>
    <w:r>
      <w:rPr>
        <w:sz w:val="16"/>
      </w:rPr>
      <w:t>|</w:t>
    </w:r>
    <w:r w:rsidR="000F3A73">
      <w:rPr>
        <w:sz w:val="16"/>
      </w:rPr>
      <w:t xml:space="preserve"> </w:t>
    </w:r>
    <w:r>
      <w:rPr>
        <w:sz w:val="16"/>
      </w:rPr>
      <w:t xml:space="preserve"> Serbien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B7F6" w14:textId="77777777" w:rsidR="005D0137" w:rsidRDefault="005D013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1F6C" w14:textId="11E2AD35" w:rsidR="00C5470D" w:rsidRPr="00C5470D" w:rsidRDefault="00C5470D" w:rsidP="00C5470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D4A7" w14:textId="77777777" w:rsidR="00CC7165" w:rsidRPr="00C5470D" w:rsidRDefault="00CC7165" w:rsidP="00C5470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D6D" w14:textId="77777777" w:rsidR="001F29C1" w:rsidRPr="00C5470D" w:rsidRDefault="001F29C1" w:rsidP="00C5470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52D3" w14:textId="77777777" w:rsidR="00A74593" w:rsidRPr="00C5470D" w:rsidRDefault="00A74593" w:rsidP="00C5470D">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28FE" w14:textId="77777777" w:rsidR="00AF743A" w:rsidRPr="00C5470D" w:rsidRDefault="00AF743A" w:rsidP="00C5470D">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EC38" w14:textId="3F61690B" w:rsidR="00230714" w:rsidRPr="00C5470D" w:rsidRDefault="00230714" w:rsidP="00230714">
    <w:pPr>
      <w:pStyle w:val="Zpat"/>
      <w:ind w:right="-57"/>
      <w:jc w:val="right"/>
    </w:pPr>
    <w:r>
      <w:fldChar w:fldCharType="begin"/>
    </w:r>
    <w:r>
      <w:instrText>PAGE   \* MERGEFORMAT</w:instrText>
    </w:r>
    <w:r>
      <w:fldChar w:fldCharType="separate"/>
    </w:r>
    <w: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FB45" w14:textId="1C157849" w:rsidR="00C468CA" w:rsidRPr="00C5470D" w:rsidRDefault="00C468CA" w:rsidP="00230714">
    <w:pPr>
      <w:pStyle w:val="Zpat"/>
      <w:ind w:right="-57"/>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31CF" w14:textId="77777777" w:rsidR="004B2D7E" w:rsidRDefault="004B2D7E" w:rsidP="002800E3">
      <w:r>
        <w:separator/>
      </w:r>
    </w:p>
  </w:footnote>
  <w:footnote w:type="continuationSeparator" w:id="0">
    <w:p w14:paraId="6655FAFF" w14:textId="77777777" w:rsidR="004B2D7E" w:rsidRDefault="004B2D7E" w:rsidP="0028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44D7" w14:textId="38A5FC5B" w:rsidR="00056EC8" w:rsidRPr="000F3A73" w:rsidRDefault="00056EC8" w:rsidP="00056EC8">
    <w:pPr>
      <w:spacing w:after="280"/>
      <w:rPr>
        <w:b/>
        <w:bCs/>
        <w:sz w:val="18"/>
        <w:szCs w:val="18"/>
        <w:lang w:val="en-GB"/>
      </w:rPr>
    </w:pPr>
    <w:r w:rsidRPr="000F3A73">
      <w:rPr>
        <w:b/>
        <w:sz w:val="18"/>
        <w:lang w:val="en-GB"/>
      </w:rPr>
      <w:t xml:space="preserve">ZDR Investments SICAV </w:t>
    </w:r>
    <w:proofErr w:type="spellStart"/>
    <w:r w:rsidRPr="000F3A73">
      <w:rPr>
        <w:b/>
        <w:sz w:val="18"/>
        <w:lang w:val="en-GB"/>
      </w:rPr>
      <w:t>a.s.</w:t>
    </w:r>
    <w:proofErr w:type="spellEnd"/>
  </w:p>
  <w:p w14:paraId="2CDBCF76" w14:textId="731A9211" w:rsidR="00056EC8" w:rsidRPr="00056EC8" w:rsidRDefault="005D0137" w:rsidP="00056EC8">
    <w:pPr>
      <w:spacing w:after="280"/>
      <w:rPr>
        <w:b/>
        <w:bCs/>
        <w:sz w:val="18"/>
        <w:szCs w:val="18"/>
      </w:rPr>
    </w:pPr>
    <w:r>
      <w:rPr>
        <w:b/>
        <w:sz w:val="18"/>
      </w:rPr>
      <w:t>BERICHT DES UNABHÄNGIGEN WIRTSCHAFTSPRÜFERS</w:t>
    </w:r>
  </w:p>
  <w:p w14:paraId="05F2CB44" w14:textId="1AB56AB3" w:rsidR="00056EC8" w:rsidRPr="00056EC8" w:rsidRDefault="00056EC8" w:rsidP="00056EC8">
    <w:pPr>
      <w:rPr>
        <w:b/>
        <w:bCs/>
        <w:sz w:val="18"/>
        <w:szCs w:val="18"/>
      </w:rPr>
    </w:pPr>
    <w:r>
      <w:rPr>
        <w:b/>
        <w:sz w:val="18"/>
      </w:rPr>
      <w:t>FÜR DAS JAHR BIS ZUM 31. DEZEMBER 2023</w:t>
    </w:r>
    <w:r>
      <w:rPr>
        <w:noProof/>
      </w:rPr>
      <w:drawing>
        <wp:anchor distT="0" distB="0" distL="114300" distR="114300" simplePos="0" relativeHeight="251660288" behindDoc="0" locked="0" layoutInCell="1" allowOverlap="1" wp14:anchorId="5E238184" wp14:editId="66CFDF41">
          <wp:simplePos x="0" y="0"/>
          <wp:positionH relativeFrom="page">
            <wp:align>right</wp:align>
          </wp:positionH>
          <wp:positionV relativeFrom="page">
            <wp:align>top</wp:align>
          </wp:positionV>
          <wp:extent cx="2292350" cy="917575"/>
          <wp:effectExtent l="0" t="0" r="0" b="0"/>
          <wp:wrapNone/>
          <wp:docPr id="6" name="Shape 2" descr="Obsah obrázku text, logo, Písmo, Grafika&#10;&#10;Popis byl vytvořen automaticky"/>
          <wp:cNvGraphicFramePr/>
          <a:graphic xmlns:a="http://schemas.openxmlformats.org/drawingml/2006/main">
            <a:graphicData uri="http://schemas.openxmlformats.org/drawingml/2006/picture">
              <pic:pic xmlns:pic="http://schemas.openxmlformats.org/drawingml/2006/picture">
                <pic:nvPicPr>
                  <pic:cNvPr id="4" name="Shape 2" descr="Obsah obrázku text, logo, Písmo, Grafika&#10;&#10;Popis byl vytvořen automaticky"/>
                  <pic:cNvPicPr/>
                </pic:nvPicPr>
                <pic:blipFill>
                  <a:blip r:embed="rId1"/>
                  <a:stretch/>
                </pic:blipFill>
                <pic:spPr>
                  <a:xfrm>
                    <a:off x="0" y="0"/>
                    <a:ext cx="2292350" cy="9175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CB9" w14:textId="77777777" w:rsidR="005D0137" w:rsidRDefault="005D013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AB0D" w14:textId="0009CEF6" w:rsidR="00C5470D" w:rsidRPr="000F3A73" w:rsidRDefault="00C5470D" w:rsidP="003C195A">
    <w:pPr>
      <w:spacing w:after="280"/>
      <w:ind w:left="-227"/>
      <w:rPr>
        <w:b/>
        <w:bCs/>
        <w:sz w:val="18"/>
        <w:szCs w:val="18"/>
        <w:lang w:val="en-GB"/>
      </w:rPr>
    </w:pPr>
    <w:r w:rsidRPr="000F3A73">
      <w:rPr>
        <w:b/>
        <w:sz w:val="18"/>
        <w:lang w:val="en-GB"/>
      </w:rPr>
      <w:t xml:space="preserve">ZDR Investments SICAV </w:t>
    </w:r>
    <w:proofErr w:type="spellStart"/>
    <w:r w:rsidRPr="000F3A73">
      <w:rPr>
        <w:b/>
        <w:sz w:val="18"/>
        <w:lang w:val="en-GB"/>
      </w:rPr>
      <w:t>a.s.</w:t>
    </w:r>
    <w:proofErr w:type="spellEnd"/>
  </w:p>
  <w:p w14:paraId="2ED0F77A" w14:textId="77777777" w:rsidR="00C5470D" w:rsidRPr="00056EC8" w:rsidRDefault="00C5470D" w:rsidP="003C195A">
    <w:pPr>
      <w:spacing w:after="280"/>
      <w:ind w:left="-227"/>
      <w:rPr>
        <w:b/>
        <w:bCs/>
        <w:sz w:val="18"/>
        <w:szCs w:val="18"/>
      </w:rPr>
    </w:pPr>
    <w:r>
      <w:rPr>
        <w:b/>
        <w:sz w:val="18"/>
      </w:rPr>
      <w:t>BERICHT DES UNABHÄNGIGEN WIRTSCHAFTSPRÜFERS</w:t>
    </w:r>
  </w:p>
  <w:p w14:paraId="5107B6B7" w14:textId="77777777" w:rsidR="005F7E07" w:rsidRDefault="00C5470D" w:rsidP="003C195A">
    <w:pPr>
      <w:ind w:left="-227"/>
      <w:rPr>
        <w:b/>
        <w:bCs/>
        <w:sz w:val="18"/>
        <w:szCs w:val="18"/>
      </w:rPr>
    </w:pPr>
    <w:r>
      <w:rPr>
        <w:b/>
        <w:sz w:val="18"/>
      </w:rPr>
      <w:t>FÜR DAS JAHR BIS ZUM 31. DEZEMBER 2023</w:t>
    </w:r>
  </w:p>
  <w:p w14:paraId="21B2D06C" w14:textId="186B9E79" w:rsidR="00C5470D" w:rsidRPr="005F7E07" w:rsidRDefault="005F7E07" w:rsidP="00B02680">
    <w:pPr>
      <w:spacing w:before="280"/>
      <w:jc w:val="right"/>
      <w:rPr>
        <w:b/>
        <w:bCs/>
        <w:sz w:val="22"/>
        <w:szCs w:val="22"/>
      </w:rPr>
    </w:pPr>
    <w:r>
      <w:rPr>
        <w:b/>
        <w:sz w:val="22"/>
      </w:rPr>
      <w:t xml:space="preserve">ZDR Investments SICAV </w:t>
    </w:r>
    <w:proofErr w:type="spellStart"/>
    <w:r>
      <w:rPr>
        <w:b/>
        <w:sz w:val="22"/>
      </w:rPr>
      <w:t>a.s.</w:t>
    </w:r>
    <w:proofErr w:type="spellEnd"/>
    <w:r>
      <w:rPr>
        <w:noProof/>
      </w:rPr>
      <w:drawing>
        <wp:anchor distT="0" distB="0" distL="114300" distR="114300" simplePos="0" relativeHeight="251665408" behindDoc="0" locked="0" layoutInCell="1" allowOverlap="1" wp14:anchorId="63F2958D" wp14:editId="6C6025A6">
          <wp:simplePos x="0" y="0"/>
          <wp:positionH relativeFrom="page">
            <wp:align>right</wp:align>
          </wp:positionH>
          <wp:positionV relativeFrom="page">
            <wp:align>top</wp:align>
          </wp:positionV>
          <wp:extent cx="2292350" cy="917575"/>
          <wp:effectExtent l="0" t="0" r="0" b="0"/>
          <wp:wrapNone/>
          <wp:docPr id="9" name="Shape 2" descr="Obsah obrázku text, logo, Písmo, Grafika&#10;&#10;Popis byl vytvořen automaticky"/>
          <wp:cNvGraphicFramePr/>
          <a:graphic xmlns:a="http://schemas.openxmlformats.org/drawingml/2006/main">
            <a:graphicData uri="http://schemas.openxmlformats.org/drawingml/2006/picture">
              <pic:pic xmlns:pic="http://schemas.openxmlformats.org/drawingml/2006/picture">
                <pic:nvPicPr>
                  <pic:cNvPr id="4" name="Shape 2" descr="Obsah obrázku text, logo, Písmo, Grafika&#10;&#10;Popis byl vytvořen automaticky"/>
                  <pic:cNvPicPr/>
                </pic:nvPicPr>
                <pic:blipFill>
                  <a:blip r:embed="rId1"/>
                  <a:stretch/>
                </pic:blipFill>
                <pic:spPr>
                  <a:xfrm>
                    <a:off x="0" y="0"/>
                    <a:ext cx="2292350" cy="9175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67B3" w14:textId="02398AE1" w:rsidR="00E3110A" w:rsidRPr="000F3A73" w:rsidRDefault="00E3110A" w:rsidP="00E3110A">
    <w:pPr>
      <w:spacing w:after="280"/>
      <w:rPr>
        <w:b/>
        <w:bCs/>
        <w:sz w:val="18"/>
        <w:szCs w:val="18"/>
        <w:lang w:val="en-GB"/>
      </w:rPr>
    </w:pPr>
    <w:r w:rsidRPr="000F3A73">
      <w:rPr>
        <w:b/>
        <w:sz w:val="18"/>
        <w:lang w:val="en-GB"/>
      </w:rPr>
      <w:t xml:space="preserve">ZDR Investments SICAV </w:t>
    </w:r>
    <w:proofErr w:type="spellStart"/>
    <w:r w:rsidRPr="000F3A73">
      <w:rPr>
        <w:b/>
        <w:sz w:val="18"/>
        <w:lang w:val="en-GB"/>
      </w:rPr>
      <w:t>a.s.</w:t>
    </w:r>
    <w:proofErr w:type="spellEnd"/>
  </w:p>
  <w:p w14:paraId="09ABFF85" w14:textId="02C42D09" w:rsidR="00E3110A" w:rsidRPr="00056EC8" w:rsidRDefault="00E3110A" w:rsidP="00E3110A">
    <w:pPr>
      <w:spacing w:after="280"/>
      <w:rPr>
        <w:b/>
        <w:bCs/>
        <w:sz w:val="18"/>
        <w:szCs w:val="18"/>
      </w:rPr>
    </w:pPr>
    <w:r>
      <w:rPr>
        <w:b/>
        <w:sz w:val="18"/>
      </w:rPr>
      <w:t>UNTERNEHMENSPROFIL</w:t>
    </w:r>
  </w:p>
  <w:p w14:paraId="24423A03" w14:textId="167BBF5C" w:rsidR="00E3110A" w:rsidRPr="00E3110A" w:rsidRDefault="00E3110A" w:rsidP="00E3110A">
    <w:pPr>
      <w:rPr>
        <w:b/>
        <w:bCs/>
        <w:sz w:val="18"/>
        <w:szCs w:val="18"/>
      </w:rPr>
    </w:pPr>
    <w:r>
      <w:rPr>
        <w:b/>
        <w:sz w:val="18"/>
      </w:rPr>
      <w:t>FÜR DAS JAHR BIS ZUM 31. DEZEMBER 202</w:t>
    </w:r>
    <w:r>
      <w:rPr>
        <w:noProof/>
        <w:sz w:val="22"/>
      </w:rPr>
      <w:drawing>
        <wp:anchor distT="0" distB="0" distL="114300" distR="114300" simplePos="0" relativeHeight="251667456" behindDoc="0" locked="0" layoutInCell="1" allowOverlap="1" wp14:anchorId="1BB84D79" wp14:editId="0880E045">
          <wp:simplePos x="0" y="0"/>
          <wp:positionH relativeFrom="page">
            <wp:align>right</wp:align>
          </wp:positionH>
          <wp:positionV relativeFrom="page">
            <wp:align>top</wp:align>
          </wp:positionV>
          <wp:extent cx="2292350" cy="917575"/>
          <wp:effectExtent l="0" t="0" r="0" b="0"/>
          <wp:wrapNone/>
          <wp:docPr id="19" name="Shape 2" descr="Obsah obrázku text, logo, Písmo, Grafika&#10;&#10;Popis byl vytvořen automaticky"/>
          <wp:cNvGraphicFramePr/>
          <a:graphic xmlns:a="http://schemas.openxmlformats.org/drawingml/2006/main">
            <a:graphicData uri="http://schemas.openxmlformats.org/drawingml/2006/picture">
              <pic:pic xmlns:pic="http://schemas.openxmlformats.org/drawingml/2006/picture">
                <pic:nvPicPr>
                  <pic:cNvPr id="4" name="Shape 2" descr="Obsah obrázku text, logo, Písmo, Grafika&#10;&#10;Popis byl vytvořen automaticky"/>
                  <pic:cNvPicPr/>
                </pic:nvPicPr>
                <pic:blipFill>
                  <a:blip r:embed="rId1"/>
                  <a:stretch/>
                </pic:blipFill>
                <pic:spPr>
                  <a:xfrm>
                    <a:off x="0" y="0"/>
                    <a:ext cx="2292350" cy="917575"/>
                  </a:xfrm>
                  <a:prstGeom prst="rect">
                    <a:avLst/>
                  </a:prstGeom>
                </pic:spPr>
              </pic:pic>
            </a:graphicData>
          </a:graphic>
        </wp:anchor>
      </w:drawing>
    </w:r>
    <w:r>
      <w:rPr>
        <w:b/>
        <w:sz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65D6" w14:textId="62E3AAC2" w:rsidR="001F29C1" w:rsidRPr="000F3A73" w:rsidRDefault="001F29C1" w:rsidP="001F29C1">
    <w:pPr>
      <w:spacing w:after="240"/>
      <w:rPr>
        <w:b/>
        <w:bCs/>
        <w:sz w:val="18"/>
        <w:szCs w:val="18"/>
        <w:lang w:val="en-GB"/>
      </w:rPr>
    </w:pPr>
    <w:r w:rsidRPr="000F3A73">
      <w:rPr>
        <w:b/>
        <w:sz w:val="18"/>
        <w:lang w:val="en-GB"/>
      </w:rPr>
      <w:t xml:space="preserve">ZDR Investments SICAV </w:t>
    </w:r>
    <w:proofErr w:type="spellStart"/>
    <w:r w:rsidRPr="000F3A73">
      <w:rPr>
        <w:b/>
        <w:sz w:val="18"/>
        <w:lang w:val="en-GB"/>
      </w:rPr>
      <w:t>a.s.</w:t>
    </w:r>
    <w:proofErr w:type="spellEnd"/>
  </w:p>
  <w:p w14:paraId="779E402E" w14:textId="77777777" w:rsidR="001F29C1" w:rsidRDefault="001F29C1" w:rsidP="001F29C1">
    <w:pPr>
      <w:spacing w:after="280"/>
      <w:rPr>
        <w:b/>
        <w:bCs/>
        <w:sz w:val="18"/>
        <w:szCs w:val="18"/>
      </w:rPr>
    </w:pPr>
    <w:r>
      <w:rPr>
        <w:b/>
        <w:sz w:val="18"/>
      </w:rPr>
      <w:t>BERICHT ÜBER DIE GESCHÄFTSTÄTIGKEIT UND DIE VERMÖGENSLAGE DER GESELLSCHAFT FÜR DAS JAHR 2023</w:t>
    </w:r>
  </w:p>
  <w:p w14:paraId="4D5CA753" w14:textId="0D112DFC" w:rsidR="001F29C1" w:rsidRPr="00E3110A" w:rsidRDefault="001F29C1" w:rsidP="00E3110A">
    <w:pPr>
      <w:rPr>
        <w:b/>
        <w:bCs/>
        <w:sz w:val="18"/>
        <w:szCs w:val="18"/>
      </w:rPr>
    </w:pPr>
    <w:r>
      <w:rPr>
        <w:b/>
        <w:sz w:val="18"/>
      </w:rPr>
      <w:t>FÜR DAS JAHR BIS ZUM 31. DEZEMBER 202</w:t>
    </w:r>
    <w:r>
      <w:rPr>
        <w:noProof/>
        <w:sz w:val="22"/>
      </w:rPr>
      <w:drawing>
        <wp:anchor distT="0" distB="0" distL="114300" distR="114300" simplePos="0" relativeHeight="251669504" behindDoc="0" locked="0" layoutInCell="1" allowOverlap="1" wp14:anchorId="768C0001" wp14:editId="73E929EF">
          <wp:simplePos x="0" y="0"/>
          <wp:positionH relativeFrom="page">
            <wp:align>right</wp:align>
          </wp:positionH>
          <wp:positionV relativeFrom="page">
            <wp:align>top</wp:align>
          </wp:positionV>
          <wp:extent cx="2292350" cy="917575"/>
          <wp:effectExtent l="0" t="0" r="0" b="0"/>
          <wp:wrapNone/>
          <wp:docPr id="22" name="Shape 2" descr="Obsah obrázku text, logo, Písmo, Grafika&#10;&#10;Popis byl vytvořen automaticky"/>
          <wp:cNvGraphicFramePr/>
          <a:graphic xmlns:a="http://schemas.openxmlformats.org/drawingml/2006/main">
            <a:graphicData uri="http://schemas.openxmlformats.org/drawingml/2006/picture">
              <pic:pic xmlns:pic="http://schemas.openxmlformats.org/drawingml/2006/picture">
                <pic:nvPicPr>
                  <pic:cNvPr id="4" name="Shape 2" descr="Obsah obrázku text, logo, Písmo, Grafika&#10;&#10;Popis byl vytvořen automaticky"/>
                  <pic:cNvPicPr/>
                </pic:nvPicPr>
                <pic:blipFill>
                  <a:blip r:embed="rId1"/>
                  <a:stretch/>
                </pic:blipFill>
                <pic:spPr>
                  <a:xfrm>
                    <a:off x="0" y="0"/>
                    <a:ext cx="2292350" cy="917575"/>
                  </a:xfrm>
                  <a:prstGeom prst="rect">
                    <a:avLst/>
                  </a:prstGeom>
                </pic:spPr>
              </pic:pic>
            </a:graphicData>
          </a:graphic>
        </wp:anchor>
      </w:drawing>
    </w:r>
    <w:r>
      <w:rPr>
        <w:b/>
        <w:sz w:val="18"/>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EF74" w14:textId="3F949175" w:rsidR="00A74593" w:rsidRPr="000F3A73" w:rsidRDefault="00A74593" w:rsidP="001F29C1">
    <w:pPr>
      <w:spacing w:after="240"/>
      <w:rPr>
        <w:b/>
        <w:bCs/>
        <w:sz w:val="18"/>
        <w:szCs w:val="18"/>
        <w:lang w:val="en-GB"/>
      </w:rPr>
    </w:pPr>
    <w:r w:rsidRPr="000F3A73">
      <w:rPr>
        <w:b/>
        <w:sz w:val="18"/>
        <w:lang w:val="en-GB"/>
      </w:rPr>
      <w:t xml:space="preserve">ZDR Investments SICAV </w:t>
    </w:r>
    <w:proofErr w:type="spellStart"/>
    <w:r w:rsidRPr="000F3A73">
      <w:rPr>
        <w:b/>
        <w:sz w:val="18"/>
        <w:lang w:val="en-GB"/>
      </w:rPr>
      <w:t>a.s.</w:t>
    </w:r>
    <w:proofErr w:type="spellEnd"/>
  </w:p>
  <w:p w14:paraId="2B6F9E9F" w14:textId="77777777" w:rsidR="00040DF2" w:rsidRDefault="00040DF2" w:rsidP="00040DF2">
    <w:pPr>
      <w:spacing w:after="280"/>
      <w:rPr>
        <w:b/>
        <w:bCs/>
        <w:sz w:val="18"/>
        <w:szCs w:val="18"/>
      </w:rPr>
    </w:pPr>
    <w:r>
      <w:rPr>
        <w:b/>
        <w:sz w:val="18"/>
      </w:rPr>
      <w:t>BERICHT ÜBER BEZIEHUNGEN ZU VERBUNDENEN UNTERNEHMEN FÜR DAS GESCHÄFTSJAHR 2023</w:t>
    </w:r>
  </w:p>
  <w:p w14:paraId="46B446B9" w14:textId="19AA0ADE" w:rsidR="00A74593" w:rsidRPr="00E3110A" w:rsidRDefault="00A74593" w:rsidP="00E3110A">
    <w:pPr>
      <w:rPr>
        <w:b/>
        <w:bCs/>
        <w:sz w:val="18"/>
        <w:szCs w:val="18"/>
      </w:rPr>
    </w:pPr>
    <w:r>
      <w:rPr>
        <w:b/>
        <w:sz w:val="18"/>
      </w:rPr>
      <w:t>FÜR DAS JAHR BIS ZUM 31. DEZEMBER 202</w:t>
    </w:r>
    <w:r>
      <w:rPr>
        <w:noProof/>
        <w:sz w:val="22"/>
      </w:rPr>
      <w:drawing>
        <wp:anchor distT="0" distB="0" distL="114300" distR="114300" simplePos="0" relativeHeight="251671552" behindDoc="0" locked="0" layoutInCell="1" allowOverlap="1" wp14:anchorId="0D09FF7A" wp14:editId="539A9DBF">
          <wp:simplePos x="0" y="0"/>
          <wp:positionH relativeFrom="page">
            <wp:align>right</wp:align>
          </wp:positionH>
          <wp:positionV relativeFrom="page">
            <wp:align>top</wp:align>
          </wp:positionV>
          <wp:extent cx="2292350" cy="917575"/>
          <wp:effectExtent l="0" t="0" r="0" b="0"/>
          <wp:wrapNone/>
          <wp:docPr id="26" name="Shape 2" descr="Obsah obrázku text, logo, Písmo, Grafika&#10;&#10;Popis byl vytvořen automaticky"/>
          <wp:cNvGraphicFramePr/>
          <a:graphic xmlns:a="http://schemas.openxmlformats.org/drawingml/2006/main">
            <a:graphicData uri="http://schemas.openxmlformats.org/drawingml/2006/picture">
              <pic:pic xmlns:pic="http://schemas.openxmlformats.org/drawingml/2006/picture">
                <pic:nvPicPr>
                  <pic:cNvPr id="4" name="Shape 2" descr="Obsah obrázku text, logo, Písmo, Grafika&#10;&#10;Popis byl vytvořen automaticky"/>
                  <pic:cNvPicPr/>
                </pic:nvPicPr>
                <pic:blipFill>
                  <a:blip r:embed="rId1"/>
                  <a:stretch/>
                </pic:blipFill>
                <pic:spPr>
                  <a:xfrm>
                    <a:off x="0" y="0"/>
                    <a:ext cx="2292350" cy="917575"/>
                  </a:xfrm>
                  <a:prstGeom prst="rect">
                    <a:avLst/>
                  </a:prstGeom>
                </pic:spPr>
              </pic:pic>
            </a:graphicData>
          </a:graphic>
        </wp:anchor>
      </w:drawing>
    </w:r>
    <w:r>
      <w:rPr>
        <w:b/>
        <w:sz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1924" w14:textId="6051DA7D" w:rsidR="00AF743A" w:rsidRPr="000F3A73" w:rsidRDefault="00AF743A" w:rsidP="001F29C1">
    <w:pPr>
      <w:spacing w:after="240"/>
      <w:rPr>
        <w:b/>
        <w:bCs/>
        <w:sz w:val="18"/>
        <w:szCs w:val="18"/>
        <w:lang w:val="en-GB"/>
      </w:rPr>
    </w:pPr>
    <w:r w:rsidRPr="000F3A73">
      <w:rPr>
        <w:b/>
        <w:sz w:val="18"/>
        <w:lang w:val="en-GB"/>
      </w:rPr>
      <w:t xml:space="preserve">ZDR Investments SICAV </w:t>
    </w:r>
    <w:proofErr w:type="spellStart"/>
    <w:r w:rsidRPr="000F3A73">
      <w:rPr>
        <w:b/>
        <w:sz w:val="18"/>
        <w:lang w:val="en-GB"/>
      </w:rPr>
      <w:t>a.s.</w:t>
    </w:r>
    <w:proofErr w:type="spellEnd"/>
  </w:p>
  <w:p w14:paraId="4E6A3F03" w14:textId="26C3878B" w:rsidR="00AF743A" w:rsidRDefault="00AF743A" w:rsidP="00040DF2">
    <w:pPr>
      <w:spacing w:after="280"/>
      <w:rPr>
        <w:b/>
        <w:bCs/>
        <w:sz w:val="18"/>
        <w:szCs w:val="18"/>
      </w:rPr>
    </w:pPr>
    <w:r>
      <w:rPr>
        <w:b/>
        <w:sz w:val="18"/>
      </w:rPr>
      <w:t>BESONDERE BESTANDTEILE DES JAHRESBERICHTS</w:t>
    </w:r>
  </w:p>
  <w:p w14:paraId="5D003420" w14:textId="77777777" w:rsidR="00AF743A" w:rsidRPr="00E3110A" w:rsidRDefault="00AF743A" w:rsidP="00E3110A">
    <w:pPr>
      <w:rPr>
        <w:b/>
        <w:bCs/>
        <w:sz w:val="18"/>
        <w:szCs w:val="18"/>
      </w:rPr>
    </w:pPr>
    <w:r>
      <w:rPr>
        <w:b/>
        <w:sz w:val="18"/>
      </w:rPr>
      <w:t>FÜR DAS JAHR BIS ZUM 31. DEZEMBER 202</w:t>
    </w:r>
    <w:r>
      <w:rPr>
        <w:noProof/>
        <w:sz w:val="22"/>
      </w:rPr>
      <w:drawing>
        <wp:anchor distT="0" distB="0" distL="114300" distR="114300" simplePos="0" relativeHeight="251673600" behindDoc="0" locked="0" layoutInCell="1" allowOverlap="1" wp14:anchorId="6BDC87E3" wp14:editId="06560E9F">
          <wp:simplePos x="0" y="0"/>
          <wp:positionH relativeFrom="page">
            <wp:align>right</wp:align>
          </wp:positionH>
          <wp:positionV relativeFrom="page">
            <wp:align>top</wp:align>
          </wp:positionV>
          <wp:extent cx="2292350" cy="917575"/>
          <wp:effectExtent l="0" t="0" r="0" b="0"/>
          <wp:wrapNone/>
          <wp:docPr id="35" name="Shape 2" descr="Obsah obrázku text, logo, Písmo, Grafika&#10;&#10;Popis byl vytvořen automaticky"/>
          <wp:cNvGraphicFramePr/>
          <a:graphic xmlns:a="http://schemas.openxmlformats.org/drawingml/2006/main">
            <a:graphicData uri="http://schemas.openxmlformats.org/drawingml/2006/picture">
              <pic:pic xmlns:pic="http://schemas.openxmlformats.org/drawingml/2006/picture">
                <pic:nvPicPr>
                  <pic:cNvPr id="4" name="Shape 2" descr="Obsah obrázku text, logo, Písmo, Grafika&#10;&#10;Popis byl vytvořen automaticky"/>
                  <pic:cNvPicPr/>
                </pic:nvPicPr>
                <pic:blipFill>
                  <a:blip r:embed="rId1"/>
                  <a:stretch/>
                </pic:blipFill>
                <pic:spPr>
                  <a:xfrm>
                    <a:off x="0" y="0"/>
                    <a:ext cx="2292350" cy="917575"/>
                  </a:xfrm>
                  <a:prstGeom prst="rect">
                    <a:avLst/>
                  </a:prstGeom>
                </pic:spPr>
              </pic:pic>
            </a:graphicData>
          </a:graphic>
        </wp:anchor>
      </w:drawing>
    </w:r>
    <w:r>
      <w:rPr>
        <w:b/>
        <w:sz w:val="18"/>
      </w:rPr>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E522" w14:textId="075040BF" w:rsidR="00230714" w:rsidRPr="000F3A73" w:rsidRDefault="00230714" w:rsidP="00230714">
    <w:pPr>
      <w:spacing w:after="240"/>
      <w:ind w:left="-340"/>
      <w:rPr>
        <w:b/>
        <w:bCs/>
        <w:lang w:val="en-GB"/>
      </w:rPr>
    </w:pPr>
    <w:r w:rsidRPr="000F3A73">
      <w:rPr>
        <w:b/>
        <w:lang w:val="en-GB"/>
      </w:rPr>
      <w:t xml:space="preserve">ZDR Investments SICAV </w:t>
    </w:r>
    <w:proofErr w:type="spellStart"/>
    <w:r w:rsidRPr="000F3A73">
      <w:rPr>
        <w:b/>
        <w:lang w:val="en-GB"/>
      </w:rPr>
      <w:t>a.s.</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E378" w14:textId="16A2F058" w:rsidR="00C73A8F" w:rsidRPr="000F3A73" w:rsidRDefault="00C73A8F" w:rsidP="00BC0EFE">
    <w:pPr>
      <w:spacing w:after="240"/>
      <w:ind w:left="-283"/>
      <w:rPr>
        <w:b/>
        <w:bCs/>
        <w:lang w:val="en-GB"/>
      </w:rPr>
    </w:pPr>
    <w:r w:rsidRPr="000F3A73">
      <w:rPr>
        <w:b/>
        <w:lang w:val="en-GB"/>
      </w:rPr>
      <w:t xml:space="preserve">ZDR Investments SICAV </w:t>
    </w:r>
    <w:proofErr w:type="spellStart"/>
    <w:r w:rsidRPr="000F3A73">
      <w:rPr>
        <w:b/>
        <w:lang w:val="en-GB"/>
      </w:rPr>
      <w:t>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385B"/>
    <w:multiLevelType w:val="hybridMultilevel"/>
    <w:tmpl w:val="7332B55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1BF23798"/>
    <w:multiLevelType w:val="multilevel"/>
    <w:tmpl w:val="DC7C207E"/>
    <w:lvl w:ilvl="0">
      <w:start w:val="1"/>
      <w:numFmt w:val="decimal"/>
      <w:pStyle w:val="Nadpis1"/>
      <w:lvlText w:val="%1."/>
      <w:lvlJc w:val="left"/>
      <w:pPr>
        <w:ind w:left="786" w:hanging="360"/>
      </w:pPr>
      <w:rPr>
        <w:rFonts w:hint="default"/>
      </w:rPr>
    </w:lvl>
    <w:lvl w:ilvl="1">
      <w:start w:val="1"/>
      <w:numFmt w:val="decimal"/>
      <w:pStyle w:val="Nadpis2"/>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377B2D9C"/>
    <w:multiLevelType w:val="hybridMultilevel"/>
    <w:tmpl w:val="688C3CA6"/>
    <w:lvl w:ilvl="0" w:tplc="F65CE308">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A153A8"/>
    <w:multiLevelType w:val="hybridMultilevel"/>
    <w:tmpl w:val="51BAA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E3"/>
    <w:rsid w:val="000264B5"/>
    <w:rsid w:val="00040DF2"/>
    <w:rsid w:val="00056EC8"/>
    <w:rsid w:val="00082318"/>
    <w:rsid w:val="000B29C1"/>
    <w:rsid w:val="000F3A73"/>
    <w:rsid w:val="0010458D"/>
    <w:rsid w:val="001768CF"/>
    <w:rsid w:val="001E262F"/>
    <w:rsid w:val="001E51C9"/>
    <w:rsid w:val="001F29C1"/>
    <w:rsid w:val="001F4EDA"/>
    <w:rsid w:val="002207B8"/>
    <w:rsid w:val="00230714"/>
    <w:rsid w:val="002800E3"/>
    <w:rsid w:val="002A392A"/>
    <w:rsid w:val="002F75FF"/>
    <w:rsid w:val="0032103B"/>
    <w:rsid w:val="00344182"/>
    <w:rsid w:val="003959C8"/>
    <w:rsid w:val="003B027F"/>
    <w:rsid w:val="003C195A"/>
    <w:rsid w:val="003D615A"/>
    <w:rsid w:val="003E2340"/>
    <w:rsid w:val="003E7774"/>
    <w:rsid w:val="00410618"/>
    <w:rsid w:val="00417FB6"/>
    <w:rsid w:val="00442A3E"/>
    <w:rsid w:val="00446BC4"/>
    <w:rsid w:val="004B2D7E"/>
    <w:rsid w:val="0052630A"/>
    <w:rsid w:val="005377CE"/>
    <w:rsid w:val="005729C1"/>
    <w:rsid w:val="005807B3"/>
    <w:rsid w:val="005A2E81"/>
    <w:rsid w:val="005D0137"/>
    <w:rsid w:val="005F7E07"/>
    <w:rsid w:val="00637B7B"/>
    <w:rsid w:val="006D75B9"/>
    <w:rsid w:val="007A09F7"/>
    <w:rsid w:val="00843663"/>
    <w:rsid w:val="008A138F"/>
    <w:rsid w:val="008C26F6"/>
    <w:rsid w:val="0092291F"/>
    <w:rsid w:val="009411DC"/>
    <w:rsid w:val="00A03076"/>
    <w:rsid w:val="00A40F49"/>
    <w:rsid w:val="00A73148"/>
    <w:rsid w:val="00A74593"/>
    <w:rsid w:val="00AA14F8"/>
    <w:rsid w:val="00AD1EE2"/>
    <w:rsid w:val="00AF2234"/>
    <w:rsid w:val="00AF743A"/>
    <w:rsid w:val="00B02680"/>
    <w:rsid w:val="00B026CD"/>
    <w:rsid w:val="00B51A59"/>
    <w:rsid w:val="00B74F2C"/>
    <w:rsid w:val="00B775F4"/>
    <w:rsid w:val="00B97D72"/>
    <w:rsid w:val="00BA2161"/>
    <w:rsid w:val="00BA2ACB"/>
    <w:rsid w:val="00BC0EFE"/>
    <w:rsid w:val="00C10089"/>
    <w:rsid w:val="00C37E18"/>
    <w:rsid w:val="00C468CA"/>
    <w:rsid w:val="00C47838"/>
    <w:rsid w:val="00C5470D"/>
    <w:rsid w:val="00C73A8F"/>
    <w:rsid w:val="00C97016"/>
    <w:rsid w:val="00CA4300"/>
    <w:rsid w:val="00CC7165"/>
    <w:rsid w:val="00D80651"/>
    <w:rsid w:val="00E004F1"/>
    <w:rsid w:val="00E3110A"/>
    <w:rsid w:val="00E94F13"/>
    <w:rsid w:val="00F33B67"/>
    <w:rsid w:val="00F71E9E"/>
    <w:rsid w:val="00F72271"/>
    <w:rsid w:val="00FD0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F95C2"/>
  <w15:chartTrackingRefBased/>
  <w15:docId w15:val="{2FAFD682-7ADA-4529-897D-A2890A5E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C73A8F"/>
    <w:pPr>
      <w:numPr>
        <w:numId w:val="2"/>
      </w:numPr>
      <w:outlineLvl w:val="0"/>
    </w:pPr>
    <w:rPr>
      <w:sz w:val="28"/>
      <w:szCs w:val="28"/>
    </w:rPr>
  </w:style>
  <w:style w:type="paragraph" w:styleId="Nadpis2">
    <w:name w:val="heading 2"/>
    <w:basedOn w:val="Odstavecseseznamem"/>
    <w:next w:val="Normln"/>
    <w:link w:val="Nadpis2Char"/>
    <w:uiPriority w:val="9"/>
    <w:unhideWhenUsed/>
    <w:qFormat/>
    <w:rsid w:val="00082318"/>
    <w:pPr>
      <w:numPr>
        <w:ilvl w:val="1"/>
        <w:numId w:val="2"/>
      </w:numPr>
      <w:ind w:left="1457"/>
      <w:outlineLvl w:val="1"/>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800E3"/>
    <w:pPr>
      <w:tabs>
        <w:tab w:val="center" w:pos="4536"/>
        <w:tab w:val="right" w:pos="9072"/>
      </w:tabs>
    </w:pPr>
  </w:style>
  <w:style w:type="character" w:customStyle="1" w:styleId="ZhlavChar">
    <w:name w:val="Záhlaví Char"/>
    <w:basedOn w:val="Standardnpsmoodstavce"/>
    <w:link w:val="Zhlav"/>
    <w:uiPriority w:val="99"/>
    <w:rsid w:val="002800E3"/>
  </w:style>
  <w:style w:type="paragraph" w:styleId="Zpat">
    <w:name w:val="footer"/>
    <w:basedOn w:val="Normln"/>
    <w:link w:val="ZpatChar"/>
    <w:uiPriority w:val="99"/>
    <w:unhideWhenUsed/>
    <w:rsid w:val="002800E3"/>
    <w:pPr>
      <w:tabs>
        <w:tab w:val="center" w:pos="4536"/>
        <w:tab w:val="right" w:pos="9072"/>
      </w:tabs>
    </w:pPr>
  </w:style>
  <w:style w:type="character" w:customStyle="1" w:styleId="ZpatChar">
    <w:name w:val="Zápatí Char"/>
    <w:basedOn w:val="Standardnpsmoodstavce"/>
    <w:link w:val="Zpat"/>
    <w:uiPriority w:val="99"/>
    <w:rsid w:val="002800E3"/>
  </w:style>
  <w:style w:type="character" w:styleId="Hypertextovodkaz">
    <w:name w:val="Hyperlink"/>
    <w:basedOn w:val="Standardnpsmoodstavce"/>
    <w:uiPriority w:val="99"/>
    <w:unhideWhenUsed/>
    <w:rsid w:val="00C5470D"/>
    <w:rPr>
      <w:color w:val="467886" w:themeColor="hyperlink"/>
      <w:u w:val="single"/>
    </w:rPr>
  </w:style>
  <w:style w:type="character" w:styleId="Nevyeenzmnka">
    <w:name w:val="Unresolved Mention"/>
    <w:basedOn w:val="Standardnpsmoodstavce"/>
    <w:uiPriority w:val="99"/>
    <w:semiHidden/>
    <w:unhideWhenUsed/>
    <w:rsid w:val="00C5470D"/>
    <w:rPr>
      <w:color w:val="605E5C"/>
      <w:shd w:val="clear" w:color="auto" w:fill="E1DFDD"/>
    </w:rPr>
  </w:style>
  <w:style w:type="table" w:styleId="Mkatabulky">
    <w:name w:val="Table Grid"/>
    <w:basedOn w:val="Normlntabulka"/>
    <w:uiPriority w:val="39"/>
    <w:rsid w:val="00E31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D75B9"/>
    <w:pPr>
      <w:ind w:left="720"/>
      <w:contextualSpacing/>
    </w:pPr>
  </w:style>
  <w:style w:type="character" w:customStyle="1" w:styleId="Nadpis1Char">
    <w:name w:val="Nadpis 1 Char"/>
    <w:basedOn w:val="Standardnpsmoodstavce"/>
    <w:link w:val="Nadpis1"/>
    <w:uiPriority w:val="9"/>
    <w:rsid w:val="00C73A8F"/>
    <w:rPr>
      <w:sz w:val="28"/>
      <w:szCs w:val="28"/>
    </w:rPr>
  </w:style>
  <w:style w:type="character" w:customStyle="1" w:styleId="Nadpis2Char">
    <w:name w:val="Nadpis 2 Char"/>
    <w:basedOn w:val="Standardnpsmoodstavce"/>
    <w:link w:val="Nadpis2"/>
    <w:uiPriority w:val="9"/>
    <w:rsid w:val="00082318"/>
    <w:rPr>
      <w:sz w:val="22"/>
      <w:szCs w:val="22"/>
    </w:rPr>
  </w:style>
  <w:style w:type="paragraph" w:styleId="Obsah1">
    <w:name w:val="toc 1"/>
    <w:basedOn w:val="Normln"/>
    <w:next w:val="Normln"/>
    <w:autoRedefine/>
    <w:uiPriority w:val="39"/>
    <w:unhideWhenUsed/>
    <w:rsid w:val="00C10089"/>
    <w:pPr>
      <w:spacing w:after="100"/>
    </w:pPr>
  </w:style>
  <w:style w:type="paragraph" w:styleId="Obsah2">
    <w:name w:val="toc 2"/>
    <w:basedOn w:val="Normln"/>
    <w:next w:val="Normln"/>
    <w:autoRedefine/>
    <w:uiPriority w:val="39"/>
    <w:unhideWhenUsed/>
    <w:rsid w:val="00C1008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image" Target="media/image1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5.xml"/><Relationship Id="rId28" Type="http://schemas.openxmlformats.org/officeDocument/2006/relationships/image" Target="media/image11.png"/><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9.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image" Target="media/image10.jpeg"/><Relationship Id="rId33" Type="http://schemas.openxmlformats.org/officeDocument/2006/relationships/footer" Target="footer8.xml"/><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0A682E2570F7348848C3AAE17FBE560" ma:contentTypeVersion="18" ma:contentTypeDescription="Vytvoří nový dokument" ma:contentTypeScope="" ma:versionID="678d2702f24869b16c4e2f06a48789df">
  <xsd:schema xmlns:xsd="http://www.w3.org/2001/XMLSchema" xmlns:xs="http://www.w3.org/2001/XMLSchema" xmlns:p="http://schemas.microsoft.com/office/2006/metadata/properties" xmlns:ns2="5ba64286-9781-422a-97ab-c3179f60e486" xmlns:ns3="df3e0e54-91e3-4f4d-acfb-4016dd236cb1" targetNamespace="http://schemas.microsoft.com/office/2006/metadata/properties" ma:root="true" ma:fieldsID="90b05465384eb9730f4100e31b4a5953" ns2:_="" ns3:_="">
    <xsd:import namespace="5ba64286-9781-422a-97ab-c3179f60e486"/>
    <xsd:import namespace="df3e0e54-91e3-4f4d-acfb-4016dd236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64286-9781-422a-97ab-c3179f60e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2b528ff-bf83-4a1d-b08e-ed7de4fbcc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e0e54-91e3-4f4d-acfb-4016dd236cb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e56c751-a908-49e5-8e04-04a021c9843f}" ma:internalName="TaxCatchAll" ma:showField="CatchAllData" ma:web="df3e0e54-91e3-4f4d-acfb-4016dd236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f3e0e54-91e3-4f4d-acfb-4016dd236cb1" xsi:nil="true"/>
    <lcf76f155ced4ddcb4097134ff3c332f xmlns="5ba64286-9781-422a-97ab-c3179f60e4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210E0A-812F-4518-B0D5-6AFCC481C774}">
  <ds:schemaRefs>
    <ds:schemaRef ds:uri="http://schemas.openxmlformats.org/officeDocument/2006/bibliography"/>
  </ds:schemaRefs>
</ds:datastoreItem>
</file>

<file path=customXml/itemProps2.xml><?xml version="1.0" encoding="utf-8"?>
<ds:datastoreItem xmlns:ds="http://schemas.openxmlformats.org/officeDocument/2006/customXml" ds:itemID="{018697CD-4829-475B-86D7-84F9FFB3765B}"/>
</file>

<file path=customXml/itemProps3.xml><?xml version="1.0" encoding="utf-8"?>
<ds:datastoreItem xmlns:ds="http://schemas.openxmlformats.org/officeDocument/2006/customXml" ds:itemID="{73480DA8-0F05-48F5-97C5-76A805CC9CA5}"/>
</file>

<file path=customXml/itemProps4.xml><?xml version="1.0" encoding="utf-8"?>
<ds:datastoreItem xmlns:ds="http://schemas.openxmlformats.org/officeDocument/2006/customXml" ds:itemID="{1D8E9265-7A44-42F3-B379-BF4FD12CA1CB}"/>
</file>

<file path=docProps/app.xml><?xml version="1.0" encoding="utf-8"?>
<Properties xmlns="http://schemas.openxmlformats.org/officeDocument/2006/extended-properties" xmlns:vt="http://schemas.openxmlformats.org/officeDocument/2006/docPropsVTypes">
  <Template>Normal</Template>
  <TotalTime>316</TotalTime>
  <Pages>33</Pages>
  <Words>8490</Words>
  <Characters>50093</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Hříbalová</dc:creator>
  <cp:keywords/>
  <dc:description/>
  <cp:lastModifiedBy>Monika Hříbalová</cp:lastModifiedBy>
  <cp:revision>37</cp:revision>
  <dcterms:created xsi:type="dcterms:W3CDTF">2024-05-20T10:04:00Z</dcterms:created>
  <dcterms:modified xsi:type="dcterms:W3CDTF">2024-05-28T08:44:00Z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0x01010090A682E2570F7348848C3AAE17FBE560</vt:lpwstr>
  </property>
</Properties>
</file>